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非执业申请人评审指标</w:t>
      </w:r>
    </w:p>
    <w:tbl>
      <w:tblPr>
        <w:tblStyle w:val="2"/>
        <w:tblpPr w:leftFromText="180" w:rightFromText="180" w:vertAnchor="text" w:horzAnchor="page" w:tblpX="1917" w:tblpY="313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 人 基 本 信 息</w:t>
            </w: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取得土地估价师资格证书年限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个人入会年限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学历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职称/职务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资深估价师推荐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申报材料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 作 情 况</w:t>
            </w: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科研和管理工作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协 会 兼 职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中估协/省级协会职务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中估协专委会/专家 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 研 及 创 新 成 果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课题研究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学术论文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专著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对行业发展的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献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地价动态监测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行业标准制定 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参加行业调查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</w:rPr>
              <w:t>报告质量审查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专业技术培训 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 会 贡 献 及 影 响 力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社会职务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协会评价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业界口碑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52A377F6"/>
    <w:rsid w:val="52A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2023-03-02T06:50:00Z</dcterms:created>
  <dc:creator>Z</dc:creator>
  <cp:lastModifiedBy>Z</cp:lastModifiedBy>
  <dcterms:modified xsi:type="dcterms:W3CDTF">2023-03-02T06:50:50Z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CE58FC04458E4831974A93DD047B0274</vt:lpwstr>
  </property>
</Properties>
</file>