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spacing w:line="360" w:lineRule="auto"/>
        <w:ind w:firstLine="1040" w:firstLineChars="200"/>
        <w:jc w:val="center"/>
        <w:rPr>
          <w:rFonts w:hint="eastAsia" w:eastAsia="方正小标宋_GBK"/>
          <w:color w:val="auto"/>
          <w:sz w:val="52"/>
          <w:szCs w:val="52"/>
        </w:rPr>
      </w:pPr>
      <w:bookmarkStart w:id="15" w:name="_GoBack"/>
      <w:bookmarkEnd w:id="15"/>
    </w:p>
    <w:p>
      <w:pPr>
        <w:autoSpaceDE w:val="0"/>
        <w:autoSpaceDN w:val="0"/>
        <w:spacing w:line="360" w:lineRule="auto"/>
        <w:ind w:firstLine="1040" w:firstLineChars="200"/>
        <w:jc w:val="center"/>
        <w:rPr>
          <w:rFonts w:hint="eastAsia" w:eastAsia="方正小标宋_GBK"/>
          <w:color w:val="auto"/>
          <w:sz w:val="52"/>
          <w:szCs w:val="52"/>
        </w:rPr>
      </w:pPr>
    </w:p>
    <w:p>
      <w:pPr>
        <w:autoSpaceDE w:val="0"/>
        <w:autoSpaceDN w:val="0"/>
        <w:spacing w:line="360" w:lineRule="auto"/>
        <w:ind w:firstLine="1040" w:firstLineChars="200"/>
        <w:jc w:val="center"/>
        <w:rPr>
          <w:rFonts w:hint="eastAsia" w:eastAsia="方正小标宋_GBK"/>
          <w:color w:val="auto"/>
          <w:sz w:val="52"/>
          <w:szCs w:val="52"/>
        </w:rPr>
      </w:pPr>
    </w:p>
    <w:p>
      <w:pPr>
        <w:autoSpaceDE w:val="0"/>
        <w:autoSpaceDN w:val="0"/>
        <w:spacing w:line="360" w:lineRule="auto"/>
        <w:ind w:firstLine="1040" w:firstLineChars="200"/>
        <w:jc w:val="center"/>
        <w:rPr>
          <w:rFonts w:hint="eastAsia" w:eastAsia="方正小标宋_GBK"/>
          <w:color w:val="auto"/>
          <w:sz w:val="52"/>
          <w:szCs w:val="52"/>
        </w:rPr>
      </w:pPr>
    </w:p>
    <w:p>
      <w:pPr>
        <w:jc w:val="center"/>
        <w:rPr>
          <w:rFonts w:hint="eastAsia" w:ascii="微软雅黑" w:hAnsi="微软雅黑" w:eastAsia="微软雅黑" w:cs="微软雅黑"/>
          <w:color w:val="auto"/>
          <w:sz w:val="48"/>
          <w:szCs w:val="48"/>
        </w:rPr>
      </w:pPr>
      <w:r>
        <w:rPr>
          <w:rFonts w:hint="eastAsia" w:ascii="微软雅黑" w:hAnsi="微软雅黑" w:eastAsia="微软雅黑" w:cs="微软雅黑"/>
          <w:color w:val="auto"/>
          <w:sz w:val="48"/>
          <w:szCs w:val="48"/>
          <w:lang w:eastAsia="zh-CN"/>
        </w:rPr>
        <w:t>中国陆域生</w:t>
      </w:r>
      <w:r>
        <w:rPr>
          <w:rFonts w:hint="eastAsia" w:ascii="微软雅黑" w:hAnsi="微软雅黑" w:eastAsia="微软雅黑" w:cs="微软雅黑"/>
          <w:color w:val="auto"/>
          <w:sz w:val="48"/>
          <w:szCs w:val="48"/>
        </w:rPr>
        <w:t>态</w:t>
      </w:r>
      <w:r>
        <w:rPr>
          <w:rFonts w:hint="eastAsia" w:ascii="微软雅黑" w:hAnsi="微软雅黑" w:eastAsia="微软雅黑" w:cs="微软雅黑"/>
          <w:color w:val="auto"/>
          <w:sz w:val="48"/>
          <w:szCs w:val="48"/>
          <w:lang w:eastAsia="zh-CN"/>
        </w:rPr>
        <w:t>基础</w:t>
      </w:r>
      <w:r>
        <w:rPr>
          <w:rFonts w:hint="eastAsia" w:ascii="微软雅黑" w:hAnsi="微软雅黑" w:eastAsia="微软雅黑" w:cs="微软雅黑"/>
          <w:color w:val="auto"/>
          <w:sz w:val="48"/>
          <w:szCs w:val="48"/>
        </w:rPr>
        <w:t>分区</w:t>
      </w:r>
    </w:p>
    <w:p>
      <w:pPr>
        <w:jc w:val="center"/>
        <w:rPr>
          <w:rFonts w:hint="eastAsia" w:ascii="微软雅黑" w:hAnsi="微软雅黑" w:eastAsia="微软雅黑" w:cs="微软雅黑"/>
          <w:color w:val="auto"/>
          <w:sz w:val="48"/>
          <w:szCs w:val="48"/>
        </w:rPr>
      </w:pPr>
      <w:r>
        <w:rPr>
          <w:rFonts w:hint="eastAsia" w:ascii="微软雅黑" w:hAnsi="微软雅黑" w:eastAsia="微软雅黑" w:cs="微软雅黑"/>
          <w:color w:val="auto"/>
          <w:sz w:val="48"/>
          <w:szCs w:val="48"/>
        </w:rPr>
        <w:t>（试行）</w:t>
      </w:r>
    </w:p>
    <w:p>
      <w:pPr>
        <w:spacing w:after="312" w:afterLines="100"/>
        <w:jc w:val="center"/>
        <w:rPr>
          <w:rFonts w:hint="eastAsia" w:eastAsia="黑体"/>
          <w:color w:val="auto"/>
          <w:sz w:val="36"/>
        </w:rPr>
      </w:pPr>
    </w:p>
    <w:p>
      <w:pPr>
        <w:spacing w:after="312" w:afterLines="100"/>
        <w:jc w:val="center"/>
        <w:rPr>
          <w:rFonts w:hint="eastAsia" w:eastAsia="黑体"/>
          <w:color w:val="auto"/>
          <w:sz w:val="36"/>
        </w:rPr>
      </w:pPr>
    </w:p>
    <w:p>
      <w:pPr>
        <w:spacing w:after="312" w:afterLines="100"/>
        <w:jc w:val="center"/>
        <w:rPr>
          <w:rFonts w:hint="eastAsia" w:eastAsia="黑体"/>
          <w:color w:val="auto"/>
          <w:sz w:val="36"/>
        </w:rPr>
      </w:pPr>
    </w:p>
    <w:p>
      <w:pPr>
        <w:spacing w:after="312" w:afterLines="100"/>
        <w:jc w:val="center"/>
        <w:rPr>
          <w:rFonts w:hint="eastAsia" w:eastAsia="黑体"/>
          <w:color w:val="auto"/>
          <w:sz w:val="36"/>
        </w:rPr>
      </w:pPr>
    </w:p>
    <w:p>
      <w:pPr>
        <w:spacing w:after="312" w:afterLines="100"/>
        <w:jc w:val="center"/>
        <w:rPr>
          <w:rFonts w:hint="eastAsia" w:eastAsia="黑体"/>
          <w:color w:val="auto"/>
          <w:sz w:val="36"/>
        </w:rPr>
      </w:pPr>
    </w:p>
    <w:p>
      <w:pPr>
        <w:pStyle w:val="2"/>
        <w:ind w:firstLine="720"/>
        <w:rPr>
          <w:rFonts w:hint="eastAsia" w:ascii="Times New Roman" w:hAnsi="Times New Roman" w:eastAsia="黑体"/>
          <w:color w:val="auto"/>
          <w:sz w:val="36"/>
        </w:rPr>
      </w:pPr>
    </w:p>
    <w:p>
      <w:pPr>
        <w:pStyle w:val="2"/>
        <w:ind w:firstLine="720"/>
        <w:rPr>
          <w:rFonts w:hint="eastAsia" w:ascii="Times New Roman" w:hAnsi="Times New Roman" w:eastAsia="黑体"/>
          <w:color w:val="auto"/>
          <w:sz w:val="36"/>
        </w:rPr>
      </w:pPr>
    </w:p>
    <w:p>
      <w:pPr>
        <w:spacing w:line="360" w:lineRule="auto"/>
        <w:ind w:firstLine="0" w:firstLineChars="0"/>
        <w:jc w:val="center"/>
        <w:rPr>
          <w:rFonts w:hint="eastAsia" w:eastAsia="方正小标宋_GBK"/>
          <w:color w:val="auto"/>
          <w:sz w:val="32"/>
          <w:szCs w:val="32"/>
        </w:rPr>
      </w:pPr>
    </w:p>
    <w:p>
      <w:pPr>
        <w:spacing w:line="360" w:lineRule="auto"/>
        <w:ind w:firstLine="0" w:firstLineChars="0"/>
        <w:jc w:val="center"/>
        <w:rPr>
          <w:rFonts w:eastAsia="方正小标宋_GBK"/>
          <w:color w:val="auto"/>
          <w:sz w:val="32"/>
          <w:szCs w:val="32"/>
        </w:rPr>
      </w:pPr>
      <w:r>
        <w:rPr>
          <w:rFonts w:hint="eastAsia" w:eastAsia="方正小标宋_GBK"/>
          <w:color w:val="auto"/>
          <w:sz w:val="32"/>
          <w:szCs w:val="32"/>
        </w:rPr>
        <w:t>自然资源部</w:t>
      </w:r>
    </w:p>
    <w:p>
      <w:pPr>
        <w:spacing w:line="360" w:lineRule="auto"/>
        <w:ind w:firstLine="0" w:firstLineChars="0"/>
        <w:jc w:val="center"/>
        <w:rPr>
          <w:rFonts w:hint="eastAsia" w:eastAsia="方正小标宋_GBK"/>
          <w:color w:val="auto"/>
          <w:sz w:val="32"/>
          <w:szCs w:val="32"/>
        </w:rPr>
      </w:pPr>
      <w:r>
        <w:rPr>
          <w:rFonts w:hint="eastAsia" w:eastAsia="方正小标宋_GBK"/>
          <w:color w:val="auto"/>
          <w:sz w:val="32"/>
          <w:szCs w:val="32"/>
        </w:rPr>
        <w:t>二〇二三年</w:t>
      </w:r>
      <w:r>
        <w:rPr>
          <w:rFonts w:hint="eastAsia" w:eastAsia="方正小标宋_GBK"/>
          <w:color w:val="auto"/>
          <w:sz w:val="32"/>
          <w:szCs w:val="32"/>
          <w:lang w:val="en-US" w:eastAsia="zh-CN"/>
        </w:rPr>
        <w:t>五</w:t>
      </w:r>
      <w:r>
        <w:rPr>
          <w:rFonts w:hint="eastAsia" w:eastAsia="方正小标宋_GBK"/>
          <w:color w:val="auto"/>
          <w:sz w:val="32"/>
          <w:szCs w:val="32"/>
        </w:rPr>
        <w:t>月</w:t>
      </w:r>
    </w:p>
    <w:p>
      <w:pPr>
        <w:rPr>
          <w:rFonts w:hint="eastAsia"/>
          <w:color w:val="auto"/>
        </w:rPr>
        <w:sectPr>
          <w:headerReference r:id="rId4" w:type="default"/>
          <w:pgSz w:w="11906" w:h="16838"/>
          <w:pgMar w:top="1440" w:right="1800" w:bottom="1440" w:left="1800" w:header="851" w:footer="992" w:gutter="0"/>
          <w:pgNumType w:start="1"/>
          <w:cols w:space="720" w:num="1"/>
          <w:docGrid w:type="lines" w:linePitch="312" w:charSpace="0"/>
        </w:sectPr>
      </w:pPr>
    </w:p>
    <w:p>
      <w:pPr>
        <w:pStyle w:val="4"/>
        <w:spacing w:before="156" w:after="156"/>
        <w:ind w:firstLine="0" w:firstLineChars="0"/>
        <w:jc w:val="center"/>
        <w:rPr>
          <w:rFonts w:hint="eastAsia"/>
          <w:b w:val="0"/>
          <w:bCs w:val="0"/>
          <w:color w:val="auto"/>
          <w:sz w:val="36"/>
          <w:szCs w:val="36"/>
        </w:rPr>
      </w:pPr>
      <w:bookmarkStart w:id="0" w:name="_Toc21892"/>
      <w:r>
        <w:rPr>
          <w:rFonts w:hint="eastAsia"/>
          <w:b w:val="0"/>
          <w:bCs w:val="0"/>
          <w:color w:val="auto"/>
          <w:sz w:val="36"/>
          <w:szCs w:val="36"/>
        </w:rPr>
        <w:t xml:space="preserve">前  </w:t>
      </w:r>
      <w:r>
        <w:rPr>
          <w:b w:val="0"/>
          <w:bCs w:val="0"/>
          <w:color w:val="auto"/>
          <w:sz w:val="36"/>
          <w:szCs w:val="36"/>
        </w:rPr>
        <w:t xml:space="preserve">  </w:t>
      </w:r>
      <w:r>
        <w:rPr>
          <w:rFonts w:hint="eastAsia"/>
          <w:b w:val="0"/>
          <w:bCs w:val="0"/>
          <w:color w:val="auto"/>
          <w:sz w:val="36"/>
          <w:szCs w:val="36"/>
        </w:rPr>
        <w:t>言</w:t>
      </w:r>
      <w:bookmarkEnd w:id="0"/>
    </w:p>
    <w:p>
      <w:pPr>
        <w:snapToGrid w:val="0"/>
        <w:spacing w:line="240" w:lineRule="exact"/>
        <w:ind w:firstLine="640" w:firstLineChars="200"/>
        <w:rPr>
          <w:rFonts w:eastAsia="方正仿宋_GB2312"/>
          <w:color w:val="auto"/>
          <w:sz w:val="32"/>
          <w:szCs w:val="32"/>
        </w:rPr>
      </w:pPr>
    </w:p>
    <w:p>
      <w:pPr>
        <w:snapToGrid w:val="0"/>
        <w:spacing w:line="540" w:lineRule="exact"/>
        <w:ind w:firstLine="640" w:firstLineChars="200"/>
        <w:rPr>
          <w:rFonts w:hint="eastAsia" w:eastAsia="方正仿宋_GB2312"/>
          <w:color w:val="auto"/>
          <w:sz w:val="32"/>
          <w:szCs w:val="32"/>
        </w:rPr>
      </w:pPr>
      <w:r>
        <w:rPr>
          <w:rFonts w:hint="eastAsia" w:eastAsia="方正仿宋_GB2312"/>
          <w:color w:val="auto"/>
          <w:sz w:val="32"/>
          <w:szCs w:val="32"/>
        </w:rPr>
        <w:t>党的十八大以来，以</w:t>
      </w:r>
      <w:r>
        <w:rPr>
          <w:rFonts w:hint="default" w:ascii="Times New Roman" w:hAnsi="Times New Roman" w:eastAsia="方正仿宋_GB2312" w:cs="Times New Roman"/>
          <w:color w:val="000000"/>
          <w:sz w:val="32"/>
          <w:szCs w:val="32"/>
        </w:rPr>
        <w:t>习近平同志</w:t>
      </w:r>
      <w:r>
        <w:rPr>
          <w:rFonts w:hint="eastAsia" w:eastAsia="方正仿宋_GB2312"/>
          <w:color w:val="auto"/>
          <w:sz w:val="32"/>
          <w:szCs w:val="32"/>
        </w:rPr>
        <w:t>为核心的党中央站在中华民族永续发展的战略高度，将生态文明建设纳入中国特色社会主义事业“五位一体”总体布局，开展了一系列根本性、开创性、长远性工作，对加强国土空间生态保护修复工作作出了部</w:t>
      </w:r>
      <w:r>
        <w:rPr>
          <w:rFonts w:hint="eastAsia" w:ascii="仿宋_GB2312" w:eastAsia="仿宋_GB2312"/>
          <w:color w:val="auto"/>
          <w:sz w:val="32"/>
          <w:szCs w:val="32"/>
        </w:rPr>
        <w:t>署</w:t>
      </w:r>
      <w:r>
        <w:rPr>
          <w:rFonts w:hint="eastAsia" w:eastAsia="方正仿宋_GB2312"/>
          <w:color w:val="auto"/>
          <w:sz w:val="32"/>
          <w:szCs w:val="32"/>
        </w:rPr>
        <w:t>要求。党的二十大对生态保护修复进一步作出重大决策部</w:t>
      </w:r>
      <w:r>
        <w:rPr>
          <w:rFonts w:hint="eastAsia" w:ascii="仿宋_GB2312" w:eastAsia="仿宋_GB2312"/>
          <w:color w:val="auto"/>
          <w:sz w:val="32"/>
          <w:szCs w:val="32"/>
        </w:rPr>
        <w:t>署</w:t>
      </w:r>
      <w:r>
        <w:rPr>
          <w:rFonts w:hint="eastAsia" w:eastAsia="方正仿宋_GB2312"/>
          <w:color w:val="auto"/>
          <w:sz w:val="32"/>
          <w:szCs w:val="32"/>
        </w:rPr>
        <w:t>，国土空间生态</w:t>
      </w:r>
      <w:r>
        <w:rPr>
          <w:rFonts w:hint="eastAsia" w:eastAsia="方正仿宋_GB2312"/>
          <w:color w:val="auto"/>
          <w:sz w:val="32"/>
          <w:szCs w:val="32"/>
          <w:lang w:val="en-US" w:eastAsia="zh-CN"/>
        </w:rPr>
        <w:t>保护</w:t>
      </w:r>
      <w:r>
        <w:rPr>
          <w:rFonts w:hint="eastAsia" w:eastAsia="方正仿宋_GB2312"/>
          <w:color w:val="auto"/>
          <w:sz w:val="32"/>
          <w:szCs w:val="32"/>
        </w:rPr>
        <w:t>修复工作要牢固树立和践行绿水青山就是金山银山的理念，坚持节约优先、保护优先、自然恢复为主的方针，坚持山水林田湖草</w:t>
      </w:r>
      <w:r>
        <w:rPr>
          <w:rFonts w:hint="default" w:ascii="Times New Roman" w:hAnsi="Times New Roman" w:eastAsia="方正仿宋_GB2312" w:cs="Times New Roman"/>
          <w:color w:val="000000"/>
          <w:sz w:val="32"/>
          <w:szCs w:val="32"/>
        </w:rPr>
        <w:t>沙</w:t>
      </w:r>
      <w:r>
        <w:rPr>
          <w:rFonts w:hint="eastAsia" w:eastAsia="方正仿宋_GB2312"/>
          <w:color w:val="auto"/>
          <w:sz w:val="32"/>
          <w:szCs w:val="32"/>
        </w:rPr>
        <w:t>一体化保护和系统治理，坚持系统观念，坚持问题导向，提升生态系统多样性、稳定性、持续性，维护国家生态安全，提供更多优质生态产品，服务生态文明建设和高质量发展，促进美丽中国、人与自然和谐共生的现代化建设。</w:t>
      </w:r>
    </w:p>
    <w:p>
      <w:pPr>
        <w:snapToGrid w:val="0"/>
        <w:spacing w:line="540" w:lineRule="exact"/>
        <w:ind w:firstLine="640" w:firstLineChars="200"/>
        <w:rPr>
          <w:rFonts w:hint="eastAsia" w:eastAsia="方正仿宋_GB2312"/>
          <w:color w:val="auto"/>
          <w:sz w:val="32"/>
          <w:szCs w:val="32"/>
        </w:rPr>
      </w:pPr>
      <w:r>
        <w:rPr>
          <w:rFonts w:hint="eastAsia" w:eastAsia="方正仿宋_GB2312"/>
          <w:color w:val="auto"/>
          <w:sz w:val="32"/>
          <w:szCs w:val="32"/>
        </w:rPr>
        <w:t>为认真履行国土</w:t>
      </w:r>
      <w:r>
        <w:rPr>
          <w:rFonts w:hint="eastAsia" w:ascii="Cambria" w:hAnsi="Cambria" w:eastAsia="方正仿宋_GB2312" w:cs="Cambria"/>
          <w:color w:val="auto"/>
          <w:sz w:val="32"/>
          <w:szCs w:val="32"/>
        </w:rPr>
        <w:t>空间</w:t>
      </w:r>
      <w:r>
        <w:rPr>
          <w:rFonts w:hint="eastAsia" w:eastAsia="方正仿宋_GB2312"/>
          <w:color w:val="auto"/>
          <w:sz w:val="32"/>
          <w:szCs w:val="32"/>
        </w:rPr>
        <w:t>生态保护修复职责，</w:t>
      </w:r>
      <w:r>
        <w:rPr>
          <w:rFonts w:hint="eastAsia" w:eastAsia="方正仿宋_GB2312"/>
          <w:color w:val="auto"/>
          <w:sz w:val="32"/>
          <w:szCs w:val="32"/>
          <w:lang w:eastAsia="zh-CN"/>
        </w:rPr>
        <w:t>夯实技术工作基础，自然资源部会同中国科学院相关院所</w:t>
      </w:r>
      <w:r>
        <w:rPr>
          <w:rFonts w:hint="eastAsia" w:eastAsia="方正仿宋_GB2312"/>
          <w:color w:val="auto"/>
          <w:sz w:val="32"/>
          <w:szCs w:val="32"/>
        </w:rPr>
        <w:t>开展了</w:t>
      </w:r>
      <w:r>
        <w:rPr>
          <w:rFonts w:hint="eastAsia" w:eastAsia="方正仿宋_GB2312"/>
          <w:color w:val="auto"/>
          <w:sz w:val="32"/>
          <w:szCs w:val="32"/>
          <w:lang w:eastAsia="zh-CN"/>
        </w:rPr>
        <w:t>中国陆域生态基础分区</w:t>
      </w:r>
      <w:r>
        <w:rPr>
          <w:rFonts w:hint="eastAsia" w:eastAsia="方正仿宋_GB2312"/>
          <w:color w:val="auto"/>
          <w:sz w:val="32"/>
          <w:szCs w:val="32"/>
        </w:rPr>
        <w:t>工作</w:t>
      </w:r>
      <w:r>
        <w:rPr>
          <w:rFonts w:hint="eastAsia" w:ascii="Cambria" w:hAnsi="Cambria" w:eastAsia="方正仿宋_GB2312"/>
          <w:color w:val="auto"/>
          <w:sz w:val="32"/>
          <w:szCs w:val="32"/>
        </w:rPr>
        <w:t>。分区</w:t>
      </w:r>
      <w:r>
        <w:rPr>
          <w:rFonts w:hint="eastAsia" w:eastAsia="方正仿宋_GB2312"/>
          <w:color w:val="auto"/>
          <w:sz w:val="32"/>
          <w:szCs w:val="32"/>
        </w:rPr>
        <w:t>立足自然地理格局，借鉴了中国生态地理分区、近海生态分区</w:t>
      </w:r>
      <w:r>
        <w:rPr>
          <w:rFonts w:hint="eastAsia" w:eastAsia="方正仿宋_GB2312"/>
          <w:color w:val="auto"/>
          <w:sz w:val="32"/>
          <w:szCs w:val="32"/>
          <w:lang w:eastAsia="zh-CN"/>
        </w:rPr>
        <w:t>、</w:t>
      </w:r>
      <w:r>
        <w:rPr>
          <w:rFonts w:hint="eastAsia" w:eastAsia="方正仿宋_GB2312"/>
          <w:color w:val="auto"/>
          <w:sz w:val="32"/>
          <w:szCs w:val="32"/>
        </w:rPr>
        <w:t>气候区划、植被区划、生态功能区划等成果和美国、加拿大生态区划框架等方法，分析</w:t>
      </w:r>
      <w:r>
        <w:rPr>
          <w:rFonts w:hint="eastAsia" w:eastAsia="方正仿宋_GB2312"/>
          <w:color w:val="auto"/>
          <w:sz w:val="32"/>
          <w:szCs w:val="32"/>
          <w:lang w:eastAsia="zh-CN"/>
        </w:rPr>
        <w:t>了</w:t>
      </w:r>
      <w:r>
        <w:rPr>
          <w:rFonts w:hint="eastAsia" w:eastAsia="方正仿宋_GB2312"/>
          <w:color w:val="auto"/>
          <w:sz w:val="32"/>
          <w:szCs w:val="32"/>
        </w:rPr>
        <w:t>气候、地貌、土壤、</w:t>
      </w:r>
      <w:r>
        <w:rPr>
          <w:rFonts w:hint="eastAsia" w:ascii="Cambria" w:hAnsi="Cambria" w:eastAsia="方正仿宋_GB2312"/>
          <w:color w:val="auto"/>
          <w:sz w:val="32"/>
          <w:szCs w:val="32"/>
        </w:rPr>
        <w:t>植被、地质</w:t>
      </w:r>
      <w:r>
        <w:rPr>
          <w:rFonts w:hint="eastAsia" w:eastAsia="方正仿宋_GB2312"/>
          <w:color w:val="auto"/>
          <w:sz w:val="32"/>
          <w:szCs w:val="32"/>
        </w:rPr>
        <w:t>和</w:t>
      </w:r>
      <w:r>
        <w:rPr>
          <w:rFonts w:hint="default" w:eastAsia="方正仿宋_GB2312"/>
          <w:color w:val="auto"/>
          <w:sz w:val="32"/>
          <w:szCs w:val="32"/>
          <w:lang w:val="en"/>
        </w:rPr>
        <w:t>第三次全国国土调查</w:t>
      </w:r>
      <w:r>
        <w:rPr>
          <w:rFonts w:hint="eastAsia" w:eastAsia="方正仿宋_GB2312"/>
          <w:color w:val="auto"/>
          <w:sz w:val="32"/>
          <w:szCs w:val="32"/>
        </w:rPr>
        <w:t>、生态地质调查、地下水资源调查、地理国情监测、高分辨率遥感影像、数字三维模型等多类型、多时相、高精度</w:t>
      </w:r>
      <w:r>
        <w:rPr>
          <w:rFonts w:hint="eastAsia" w:eastAsia="方正仿宋_GB2312"/>
          <w:color w:val="auto"/>
          <w:sz w:val="32"/>
          <w:szCs w:val="32"/>
          <w:lang w:eastAsia="zh-CN"/>
        </w:rPr>
        <w:t>的</w:t>
      </w:r>
      <w:r>
        <w:rPr>
          <w:rFonts w:hint="eastAsia" w:eastAsia="方正仿宋_GB2312"/>
          <w:color w:val="auto"/>
          <w:sz w:val="32"/>
          <w:szCs w:val="32"/>
        </w:rPr>
        <w:t>自然资源时空数据，并在全国构建了数千个植被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-</w:t>
      </w:r>
      <w:r>
        <w:rPr>
          <w:rFonts w:hint="eastAsia" w:eastAsia="方正仿宋_GB2312"/>
          <w:color w:val="auto"/>
          <w:sz w:val="32"/>
          <w:szCs w:val="32"/>
        </w:rPr>
        <w:t>土壤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-</w:t>
      </w:r>
      <w:r>
        <w:rPr>
          <w:rFonts w:hint="eastAsia" w:eastAsia="方正仿宋_GB2312"/>
          <w:color w:val="auto"/>
          <w:sz w:val="32"/>
          <w:szCs w:val="32"/>
        </w:rPr>
        <w:t>风化壳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-</w:t>
      </w:r>
      <w:r>
        <w:rPr>
          <w:rFonts w:hint="eastAsia" w:eastAsia="方正仿宋_GB2312"/>
          <w:color w:val="auto"/>
          <w:sz w:val="32"/>
          <w:szCs w:val="32"/>
        </w:rPr>
        <w:t>基岩</w:t>
      </w:r>
      <w:r>
        <w:rPr>
          <w:rFonts w:hint="eastAsia" w:eastAsia="方正仿宋_GB2312"/>
          <w:color w:val="auto"/>
          <w:sz w:val="32"/>
          <w:szCs w:val="32"/>
          <w:lang w:val="en-US" w:eastAsia="zh-CN"/>
        </w:rPr>
        <w:t>一体化的</w:t>
      </w:r>
      <w:r>
        <w:rPr>
          <w:rFonts w:hint="eastAsia" w:eastAsia="方正仿宋_GB2312"/>
          <w:color w:val="auto"/>
          <w:sz w:val="32"/>
          <w:szCs w:val="32"/>
        </w:rPr>
        <w:t>野外观测实测点，采用自上而下、逐级嵌套方式开展不同尺度分区，利用空间分析技术、遥感综合判释技术和野外实地验证，多方案比对综合确定分区，</w:t>
      </w:r>
      <w:r>
        <w:rPr>
          <w:rFonts w:hint="eastAsia" w:eastAsia="方正仿宋_GB2312" w:cs="方正仿宋_GB2312"/>
          <w:color w:val="auto"/>
          <w:sz w:val="32"/>
          <w:szCs w:val="32"/>
        </w:rPr>
        <w:t>将全国陆域</w:t>
      </w:r>
      <w:r>
        <w:rPr>
          <w:rFonts w:hint="eastAsia" w:eastAsia="方正仿宋_GB2312" w:cs="方正仿宋_GB2312"/>
          <w:color w:val="auto"/>
          <w:sz w:val="32"/>
          <w:szCs w:val="32"/>
          <w:lang w:eastAsia="zh-CN"/>
        </w:rPr>
        <w:t>（</w:t>
      </w:r>
      <w:r>
        <w:rPr>
          <w:rFonts w:hint="eastAsia" w:eastAsia="方正仿宋_GB2312" w:cs="方正仿宋_GB2312"/>
          <w:color w:val="auto"/>
          <w:sz w:val="32"/>
          <w:szCs w:val="32"/>
        </w:rPr>
        <w:t>不含港澳台地区</w:t>
      </w:r>
      <w:r>
        <w:rPr>
          <w:rFonts w:hint="eastAsia" w:eastAsia="方正仿宋_GB2312" w:cs="方正仿宋_GB2312"/>
          <w:color w:val="auto"/>
          <w:sz w:val="32"/>
          <w:szCs w:val="32"/>
          <w:lang w:eastAsia="zh-CN"/>
        </w:rPr>
        <w:t>）生态系统在不同区域尺度上</w:t>
      </w:r>
      <w:r>
        <w:rPr>
          <w:rFonts w:hint="eastAsia" w:eastAsia="方正仿宋_GB2312" w:cs="方正仿宋_GB2312"/>
          <w:color w:val="auto"/>
          <w:sz w:val="32"/>
          <w:szCs w:val="32"/>
        </w:rPr>
        <w:t>分为一级生态区6个、二级生态区4</w:t>
      </w:r>
      <w:r>
        <w:rPr>
          <w:rFonts w:eastAsia="方正仿宋_GB2312" w:cs="方正仿宋_GB2312"/>
          <w:color w:val="auto"/>
          <w:sz w:val="32"/>
          <w:szCs w:val="32"/>
        </w:rPr>
        <w:t>7</w:t>
      </w:r>
      <w:r>
        <w:rPr>
          <w:rFonts w:hint="eastAsia" w:eastAsia="方正仿宋_GB2312" w:cs="方正仿宋_GB2312"/>
          <w:color w:val="auto"/>
          <w:sz w:val="32"/>
          <w:szCs w:val="32"/>
        </w:rPr>
        <w:t>个、三级生态区2</w:t>
      </w:r>
      <w:r>
        <w:rPr>
          <w:rFonts w:eastAsia="方正仿宋_GB2312" w:cs="方正仿宋_GB2312"/>
          <w:color w:val="auto"/>
          <w:sz w:val="32"/>
          <w:szCs w:val="32"/>
        </w:rPr>
        <w:t>3</w:t>
      </w:r>
      <w:r>
        <w:rPr>
          <w:rFonts w:hint="eastAsia" w:eastAsia="方正仿宋_GB2312" w:cs="方正仿宋_GB2312"/>
          <w:color w:val="auto"/>
          <w:sz w:val="32"/>
          <w:szCs w:val="32"/>
        </w:rPr>
        <w:t>3个。</w:t>
      </w:r>
    </w:p>
    <w:p>
      <w:pPr>
        <w:spacing w:line="540" w:lineRule="exact"/>
        <w:ind w:firstLine="640" w:firstLineChars="200"/>
        <w:rPr>
          <w:rFonts w:hint="eastAsia" w:eastAsia="方正仿宋_GB2312"/>
          <w:color w:val="auto"/>
          <w:sz w:val="32"/>
          <w:szCs w:val="32"/>
        </w:rPr>
      </w:pPr>
      <w:r>
        <w:rPr>
          <w:rFonts w:hint="eastAsia" w:eastAsia="方正仿宋_GB2312"/>
          <w:color w:val="auto"/>
          <w:sz w:val="32"/>
          <w:szCs w:val="32"/>
          <w:lang w:eastAsia="zh-CN"/>
        </w:rPr>
        <w:t>中国陆域生态基础分区</w:t>
      </w:r>
      <w:r>
        <w:rPr>
          <w:rFonts w:hint="eastAsia" w:eastAsia="方正仿宋_GB2312"/>
          <w:color w:val="auto"/>
          <w:sz w:val="32"/>
          <w:szCs w:val="32"/>
        </w:rPr>
        <w:t>，</w:t>
      </w:r>
      <w:r>
        <w:rPr>
          <w:rFonts w:hint="eastAsia" w:eastAsia="方正仿宋_GB2312"/>
          <w:color w:val="auto"/>
          <w:sz w:val="32"/>
          <w:szCs w:val="32"/>
          <w:lang w:eastAsia="zh-CN"/>
        </w:rPr>
        <w:t>是一项</w:t>
      </w:r>
      <w:r>
        <w:rPr>
          <w:rFonts w:hint="eastAsia" w:ascii="Times New Roman" w:hAnsi="Times New Roman" w:eastAsia="仿宋_GB2312"/>
          <w:color w:val="auto"/>
          <w:sz w:val="32"/>
          <w:szCs w:val="32"/>
          <w:lang w:eastAsia="zh-CN"/>
        </w:rPr>
        <w:t>基于自然与人为要素的</w:t>
      </w:r>
      <w:r>
        <w:rPr>
          <w:rFonts w:hint="eastAsia" w:eastAsia="方正仿宋_GB2312"/>
          <w:color w:val="auto"/>
          <w:sz w:val="32"/>
          <w:szCs w:val="32"/>
          <w:lang w:eastAsia="zh-CN"/>
        </w:rPr>
        <w:t>重要基础性技术工作。其</w:t>
      </w:r>
      <w:r>
        <w:rPr>
          <w:rFonts w:hint="eastAsia" w:eastAsia="方正仿宋_GB2312"/>
          <w:color w:val="auto"/>
          <w:sz w:val="32"/>
          <w:szCs w:val="32"/>
        </w:rPr>
        <w:t>在目标定位上，面向</w:t>
      </w:r>
      <w:r>
        <w:rPr>
          <w:rFonts w:hint="eastAsia" w:eastAsia="方正仿宋_GB2312"/>
          <w:color w:val="auto"/>
          <w:sz w:val="32"/>
          <w:szCs w:val="32"/>
          <w:lang w:val="en-US" w:eastAsia="zh-CN"/>
        </w:rPr>
        <w:t>国土空间</w:t>
      </w:r>
      <w:r>
        <w:rPr>
          <w:rFonts w:hint="eastAsia" w:eastAsia="方正仿宋_GB2312"/>
          <w:color w:val="auto"/>
          <w:sz w:val="32"/>
          <w:szCs w:val="32"/>
        </w:rPr>
        <w:t>生态保护修复职责履行</w:t>
      </w:r>
      <w:r>
        <w:rPr>
          <w:rFonts w:hint="eastAsia" w:eastAsia="方正仿宋_GB2312"/>
          <w:color w:val="auto"/>
          <w:sz w:val="32"/>
          <w:szCs w:val="32"/>
          <w:lang w:eastAsia="zh-CN"/>
        </w:rPr>
        <w:t>的技术支撑需求</w:t>
      </w:r>
      <w:r>
        <w:rPr>
          <w:rFonts w:hint="eastAsia" w:eastAsia="方正仿宋_GB2312"/>
          <w:color w:val="auto"/>
          <w:sz w:val="32"/>
          <w:szCs w:val="32"/>
        </w:rPr>
        <w:t>，旨在为分区分类科学开展生态修复和生态监测评价预警</w:t>
      </w:r>
      <w:r>
        <w:rPr>
          <w:rFonts w:hint="eastAsia" w:eastAsia="方正仿宋_GB2312"/>
          <w:color w:val="auto"/>
          <w:sz w:val="32"/>
          <w:szCs w:val="32"/>
          <w:lang w:eastAsia="zh-CN"/>
        </w:rPr>
        <w:t>等工作</w:t>
      </w:r>
      <w:r>
        <w:rPr>
          <w:rFonts w:hint="eastAsia" w:eastAsia="方正仿宋_GB2312"/>
          <w:color w:val="auto"/>
          <w:sz w:val="32"/>
          <w:szCs w:val="32"/>
        </w:rPr>
        <w:t>提供</w:t>
      </w:r>
      <w:r>
        <w:rPr>
          <w:rFonts w:hint="eastAsia" w:eastAsia="方正仿宋_GB2312"/>
          <w:color w:val="auto"/>
          <w:sz w:val="32"/>
          <w:szCs w:val="32"/>
          <w:lang w:eastAsia="zh-CN"/>
        </w:rPr>
        <w:t>技术性基础框架和参考。分区成果可服务于</w:t>
      </w:r>
      <w:r>
        <w:rPr>
          <w:rFonts w:hint="eastAsia" w:eastAsia="方正仿宋_GB2312"/>
          <w:color w:val="auto"/>
          <w:sz w:val="32"/>
          <w:szCs w:val="32"/>
        </w:rPr>
        <w:t>生态监测站网布设、生态问题识别</w:t>
      </w:r>
      <w:r>
        <w:rPr>
          <w:rFonts w:hint="eastAsia" w:eastAsia="方正仿宋_GB2312"/>
          <w:color w:val="auto"/>
          <w:sz w:val="32"/>
          <w:szCs w:val="32"/>
          <w:lang w:val="en-US" w:eastAsia="zh-CN"/>
        </w:rPr>
        <w:t>监测</w:t>
      </w:r>
      <w:r>
        <w:rPr>
          <w:rFonts w:hint="eastAsia" w:eastAsia="方正仿宋_GB2312"/>
          <w:color w:val="auto"/>
          <w:sz w:val="32"/>
          <w:szCs w:val="32"/>
        </w:rPr>
        <w:t>、重大生态风险预警、生态恢复力评价与模拟、生态修复参</w:t>
      </w:r>
      <w:r>
        <w:rPr>
          <w:rFonts w:hint="eastAsia" w:eastAsia="方正仿宋_GB2312"/>
          <w:color w:val="auto"/>
          <w:sz w:val="32"/>
          <w:szCs w:val="32"/>
          <w:lang w:eastAsia="zh-CN"/>
        </w:rPr>
        <w:t>考</w:t>
      </w:r>
      <w:r>
        <w:rPr>
          <w:rFonts w:hint="eastAsia" w:eastAsia="方正仿宋_GB2312"/>
          <w:color w:val="auto"/>
          <w:sz w:val="32"/>
          <w:szCs w:val="32"/>
        </w:rPr>
        <w:t>系</w:t>
      </w:r>
      <w:r>
        <w:rPr>
          <w:rFonts w:hint="eastAsia" w:eastAsia="方正仿宋_GB2312"/>
          <w:color w:val="auto"/>
          <w:sz w:val="32"/>
          <w:szCs w:val="32"/>
          <w:lang w:eastAsia="zh-CN"/>
        </w:rPr>
        <w:t>设置</w:t>
      </w:r>
      <w:r>
        <w:rPr>
          <w:rFonts w:hint="eastAsia" w:eastAsia="方正仿宋_GB2312"/>
          <w:color w:val="auto"/>
          <w:sz w:val="32"/>
          <w:szCs w:val="32"/>
        </w:rPr>
        <w:t>、基于自然的</w:t>
      </w:r>
      <w:r>
        <w:rPr>
          <w:rFonts w:hint="eastAsia" w:eastAsia="方正仿宋_GB2312"/>
          <w:color w:val="auto"/>
          <w:sz w:val="32"/>
          <w:szCs w:val="32"/>
          <w:lang w:val="en-US" w:eastAsia="zh-CN"/>
        </w:rPr>
        <w:t>区域</w:t>
      </w:r>
      <w:r>
        <w:rPr>
          <w:rFonts w:hint="eastAsia" w:eastAsia="方正仿宋_GB2312"/>
          <w:color w:val="auto"/>
          <w:sz w:val="32"/>
          <w:szCs w:val="32"/>
        </w:rPr>
        <w:t>生态修复导则制定、分类施策开展生态修复、生态保护修复成效评价、生态保护修复状况公报编制</w:t>
      </w:r>
      <w:r>
        <w:rPr>
          <w:rFonts w:hint="eastAsia" w:eastAsia="方正仿宋_GB2312"/>
          <w:color w:val="auto"/>
          <w:sz w:val="32"/>
          <w:szCs w:val="32"/>
          <w:lang w:eastAsia="zh-CN"/>
        </w:rPr>
        <w:t>等；</w:t>
      </w:r>
      <w:r>
        <w:rPr>
          <w:rFonts w:hint="eastAsia" w:eastAsia="方正仿宋_GB2312"/>
          <w:color w:val="auto"/>
          <w:sz w:val="32"/>
          <w:szCs w:val="32"/>
        </w:rPr>
        <w:t>在分区因子综合分析上，突出地上、地表、地下自然要素一体化考量，以</w:t>
      </w:r>
      <w:r>
        <w:rPr>
          <w:rFonts w:hint="default" w:eastAsia="方正仿宋_GB2312"/>
          <w:color w:val="auto"/>
          <w:sz w:val="32"/>
          <w:szCs w:val="32"/>
          <w:lang w:val="en"/>
        </w:rPr>
        <w:t>第三次全国国土调查</w:t>
      </w:r>
      <w:r>
        <w:rPr>
          <w:rFonts w:hint="eastAsia" w:eastAsia="方正仿宋_GB2312"/>
          <w:color w:val="auto"/>
          <w:sz w:val="32"/>
          <w:szCs w:val="32"/>
        </w:rPr>
        <w:t>数据为统一基底，采用高精度、</w:t>
      </w:r>
      <w:r>
        <w:rPr>
          <w:rFonts w:hint="default" w:ascii="Times New Roman" w:hAnsi="Times New Roman" w:eastAsia="方正仿宋_GB2312" w:cs="Times New Roman"/>
          <w:color w:val="000000"/>
          <w:sz w:val="32"/>
          <w:szCs w:val="32"/>
        </w:rPr>
        <w:t>现势性强的</w:t>
      </w:r>
      <w:r>
        <w:rPr>
          <w:rFonts w:hint="eastAsia" w:eastAsia="方正仿宋_GB2312"/>
          <w:color w:val="auto"/>
          <w:sz w:val="32"/>
          <w:szCs w:val="32"/>
        </w:rPr>
        <w:t>自然资源时空数据，充分分析自然地理单元的完整性、连续性和生态相似性、分异性特征，</w:t>
      </w:r>
      <w:r>
        <w:rPr>
          <w:rFonts w:hint="eastAsia" w:eastAsia="方正仿宋_GB2312"/>
          <w:color w:val="auto"/>
          <w:sz w:val="32"/>
          <w:szCs w:val="32"/>
          <w:lang w:eastAsia="zh-CN"/>
        </w:rPr>
        <w:t>并与“三区</w:t>
      </w:r>
      <w:r>
        <w:rPr>
          <w:rFonts w:hint="default" w:ascii="Times New Roman" w:hAnsi="Times New Roman" w:eastAsia="方正仿宋_GB2312" w:cs="Times New Roman"/>
          <w:color w:val="000000"/>
          <w:sz w:val="32"/>
          <w:szCs w:val="32"/>
        </w:rPr>
        <w:t>四带</w:t>
      </w:r>
      <w:r>
        <w:rPr>
          <w:rFonts w:hint="eastAsia" w:eastAsia="方正仿宋_GB2312"/>
          <w:color w:val="auto"/>
          <w:sz w:val="32"/>
          <w:szCs w:val="32"/>
          <w:lang w:eastAsia="zh-CN"/>
        </w:rPr>
        <w:t>”国家生态安全屏障自然格局</w:t>
      </w:r>
      <w:r>
        <w:rPr>
          <w:rFonts w:hint="eastAsia" w:eastAsia="方正仿宋_GB2312"/>
          <w:color w:val="auto"/>
          <w:sz w:val="32"/>
          <w:szCs w:val="32"/>
          <w:lang w:val="en-US" w:eastAsia="zh-CN"/>
        </w:rPr>
        <w:t>相</w:t>
      </w:r>
      <w:r>
        <w:rPr>
          <w:rFonts w:hint="eastAsia" w:eastAsia="方正仿宋_GB2312"/>
          <w:color w:val="auto"/>
          <w:sz w:val="32"/>
          <w:szCs w:val="32"/>
          <w:lang w:eastAsia="zh-CN"/>
        </w:rPr>
        <w:t>衔接；</w:t>
      </w:r>
      <w:r>
        <w:rPr>
          <w:rFonts w:hint="eastAsia" w:eastAsia="方正仿宋_GB2312"/>
          <w:color w:val="auto"/>
          <w:sz w:val="32"/>
          <w:szCs w:val="32"/>
        </w:rPr>
        <w:t>在</w:t>
      </w:r>
      <w:r>
        <w:rPr>
          <w:rFonts w:hint="eastAsia" w:eastAsia="方正仿宋_GB2312"/>
          <w:color w:val="auto"/>
          <w:sz w:val="32"/>
          <w:szCs w:val="32"/>
          <w:lang w:eastAsia="zh-CN"/>
        </w:rPr>
        <w:t>分区的命名和生态保护修复主要方向上，</w:t>
      </w:r>
      <w:r>
        <w:rPr>
          <w:rFonts w:hint="eastAsia" w:eastAsia="方正仿宋_GB2312"/>
          <w:color w:val="auto"/>
          <w:sz w:val="32"/>
          <w:szCs w:val="32"/>
        </w:rPr>
        <w:t>与黄河流域生态保护和高质量发展、长江经济带发展等国家重大区域战略和《全国国土空间规划纲要（2021—2035年）》《全国重要生态系统保护和修复重大工程总体规划（2021—2035年）》等</w:t>
      </w:r>
      <w:r>
        <w:rPr>
          <w:rFonts w:hint="eastAsia" w:eastAsia="方正仿宋_GB2312"/>
          <w:color w:val="auto"/>
          <w:sz w:val="32"/>
          <w:szCs w:val="32"/>
          <w:lang w:eastAsia="zh-CN"/>
        </w:rPr>
        <w:t>相关</w:t>
      </w:r>
      <w:r>
        <w:rPr>
          <w:rFonts w:hint="eastAsia" w:eastAsia="方正仿宋_GB2312"/>
          <w:color w:val="auto"/>
          <w:sz w:val="32"/>
          <w:szCs w:val="32"/>
        </w:rPr>
        <w:t>重要规划</w:t>
      </w:r>
      <w:r>
        <w:rPr>
          <w:rFonts w:hint="eastAsia" w:eastAsia="方正仿宋_GB2312"/>
          <w:color w:val="auto"/>
          <w:sz w:val="32"/>
          <w:szCs w:val="32"/>
          <w:lang w:eastAsia="zh-CN"/>
        </w:rPr>
        <w:t>进行了衔接</w:t>
      </w:r>
      <w:r>
        <w:rPr>
          <w:rFonts w:hint="eastAsia" w:eastAsia="方正仿宋_GB2312"/>
          <w:color w:val="auto"/>
          <w:sz w:val="32"/>
          <w:szCs w:val="32"/>
        </w:rPr>
        <w:t>。</w:t>
      </w:r>
    </w:p>
    <w:p>
      <w:pPr>
        <w:spacing w:line="540" w:lineRule="exact"/>
        <w:ind w:firstLine="640" w:firstLineChars="200"/>
        <w:rPr>
          <w:rFonts w:hint="eastAsia" w:ascii="Times New Roman" w:hAnsi="Times New Roman" w:eastAsia="方正仿宋_GB2312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eastAsia="zh-CN"/>
        </w:rPr>
        <w:t>本</w:t>
      </w: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</w:rPr>
        <w:t>分区</w:t>
      </w: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  <w:t>不涉及国土</w:t>
      </w: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shd w:val="clear" w:color="auto" w:fill="auto"/>
        </w:rPr>
        <w:t>空间利用</w:t>
      </w: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shd w:val="clear" w:color="auto" w:fill="auto"/>
          <w:lang w:eastAsia="zh-CN"/>
        </w:rPr>
        <w:t>和</w:t>
      </w: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shd w:val="clear" w:color="auto" w:fill="auto"/>
        </w:rPr>
        <w:t>管控</w:t>
      </w: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shd w:val="clear" w:color="auto" w:fill="auto"/>
          <w:lang w:eastAsia="zh-CN"/>
        </w:rPr>
        <w:t>规则，服从国土空间规划对生态保护修复的统筹布局和管控要求</w:t>
      </w: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</w:rPr>
        <w:t>。</w:t>
      </w:r>
    </w:p>
    <w:p>
      <w:pPr>
        <w:snapToGrid/>
        <w:spacing w:line="540" w:lineRule="exact"/>
        <w:ind w:firstLine="640" w:firstLineChars="200"/>
        <w:rPr>
          <w:rFonts w:hint="eastAsia" w:ascii="Times New Roman" w:hAnsi="Times New Roman" w:eastAsia="方正仿宋_GB2312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</w:rPr>
        <w:t>本分区</w:t>
      </w: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eastAsia="zh-CN"/>
        </w:rPr>
        <w:t>为试行</w:t>
      </w: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</w:rPr>
        <w:t>，</w:t>
      </w: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eastAsia="zh-CN"/>
        </w:rPr>
        <w:t>随着</w:t>
      </w: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  <w:t>国土空间</w:t>
      </w: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eastAsia="zh-CN"/>
        </w:rPr>
        <w:t>生态</w:t>
      </w: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val="en-US" w:eastAsia="zh-CN"/>
        </w:rPr>
        <w:t>保护</w:t>
      </w: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  <w:lang w:eastAsia="zh-CN"/>
        </w:rPr>
        <w:t>修复实践工作的深入和相关技术的提高，</w:t>
      </w:r>
      <w:r>
        <w:rPr>
          <w:rFonts w:hint="eastAsia" w:ascii="Times New Roman" w:hAnsi="Times New Roman" w:eastAsia="方正仿宋_GB2312" w:cs="Times New Roman"/>
          <w:color w:val="auto"/>
          <w:sz w:val="32"/>
          <w:szCs w:val="32"/>
        </w:rPr>
        <w:t>将适时进行优化修订。</w:t>
      </w:r>
    </w:p>
    <w:p>
      <w:pPr>
        <w:pStyle w:val="2"/>
        <w:ind w:firstLine="480"/>
        <w:rPr>
          <w:rFonts w:hint="eastAsia" w:ascii="Times New Roman" w:hAnsi="Times New Roman"/>
          <w:color w:val="auto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fmt="upperRoman" w:start="1"/>
          <w:cols w:space="720" w:num="1"/>
          <w:docGrid w:type="lines" w:linePitch="312" w:charSpace="0"/>
        </w:sectPr>
      </w:pPr>
    </w:p>
    <w:p>
      <w:pPr>
        <w:pStyle w:val="2"/>
        <w:ind w:firstLine="480"/>
        <w:rPr>
          <w:rFonts w:hint="eastAsia" w:ascii="Times New Roman" w:hAnsi="Times New Roman"/>
          <w:color w:val="auto"/>
        </w:rPr>
      </w:pPr>
    </w:p>
    <w:p>
      <w:pPr>
        <w:jc w:val="center"/>
        <w:rPr>
          <w:rFonts w:eastAsia="黑体"/>
          <w:color w:val="auto"/>
          <w:sz w:val="36"/>
          <w:szCs w:val="36"/>
        </w:rPr>
      </w:pPr>
      <w:r>
        <w:rPr>
          <w:rFonts w:eastAsia="黑体"/>
          <w:color w:val="auto"/>
          <w:sz w:val="36"/>
          <w:szCs w:val="36"/>
        </w:rPr>
        <w:t>目</w:t>
      </w:r>
      <w:r>
        <w:rPr>
          <w:rFonts w:hint="eastAsia" w:eastAsia="黑体"/>
          <w:color w:val="auto"/>
          <w:sz w:val="36"/>
          <w:szCs w:val="36"/>
        </w:rPr>
        <w:t xml:space="preserve"> </w:t>
      </w:r>
      <w:r>
        <w:rPr>
          <w:rFonts w:eastAsia="黑体"/>
          <w:color w:val="auto"/>
          <w:sz w:val="36"/>
          <w:szCs w:val="36"/>
        </w:rPr>
        <w:t xml:space="preserve"> 录</w:t>
      </w:r>
    </w:p>
    <w:p>
      <w:pPr>
        <w:pStyle w:val="2"/>
        <w:rPr>
          <w:rFonts w:hint="eastAsia"/>
        </w:rPr>
      </w:pPr>
    </w:p>
    <w:p>
      <w:pPr>
        <w:pStyle w:val="13"/>
        <w:tabs>
          <w:tab w:val="right" w:leader="dot" w:pos="8306"/>
        </w:tabs>
        <w:rPr>
          <w:color w:val="auto"/>
        </w:rPr>
      </w:pPr>
      <w:r>
        <w:rPr>
          <w:rFonts w:hint="eastAsia" w:eastAsia="黑体" w:cs="黑体"/>
          <w:color w:val="auto"/>
          <w:sz w:val="28"/>
          <w:szCs w:val="28"/>
        </w:rPr>
        <w:fldChar w:fldCharType="begin"/>
      </w:r>
      <w:r>
        <w:rPr>
          <w:rFonts w:hint="eastAsia" w:eastAsia="黑体" w:cs="黑体"/>
          <w:color w:val="auto"/>
          <w:sz w:val="28"/>
          <w:szCs w:val="28"/>
        </w:rPr>
        <w:instrText xml:space="preserve">TOC \o "1-3" \h \u </w:instrText>
      </w:r>
      <w:r>
        <w:rPr>
          <w:rFonts w:hint="eastAsia" w:eastAsia="黑体" w:cs="黑体"/>
          <w:color w:val="auto"/>
          <w:sz w:val="28"/>
          <w:szCs w:val="28"/>
        </w:rPr>
        <w:fldChar w:fldCharType="separate"/>
      </w:r>
      <w:r>
        <w:rPr>
          <w:rFonts w:hint="eastAsia" w:eastAsia="微软雅黑" w:cs="微软雅黑"/>
          <w:color w:val="auto"/>
          <w:sz w:val="28"/>
          <w:szCs w:val="40"/>
        </w:rPr>
        <w:fldChar w:fldCharType="begin"/>
      </w:r>
      <w:r>
        <w:rPr>
          <w:rFonts w:hint="eastAsia" w:eastAsia="微软雅黑" w:cs="微软雅黑"/>
          <w:color w:val="auto"/>
          <w:sz w:val="28"/>
          <w:szCs w:val="40"/>
        </w:rPr>
        <w:instrText xml:space="preserve"> HYPERLINK \l _Toc23263 </w:instrText>
      </w:r>
      <w:r>
        <w:rPr>
          <w:rFonts w:hint="eastAsia" w:eastAsia="微软雅黑" w:cs="微软雅黑"/>
          <w:color w:val="auto"/>
          <w:sz w:val="28"/>
          <w:szCs w:val="40"/>
        </w:rPr>
        <w:fldChar w:fldCharType="separate"/>
      </w:r>
      <w:r>
        <w:rPr>
          <w:rFonts w:hint="eastAsia" w:eastAsia="微软雅黑" w:cs="微软雅黑"/>
          <w:bCs/>
          <w:color w:val="auto"/>
          <w:sz w:val="28"/>
          <w:szCs w:val="36"/>
        </w:rPr>
        <w:t xml:space="preserve">一、 </w:t>
      </w:r>
      <w:r>
        <w:rPr>
          <w:rFonts w:hint="eastAsia" w:eastAsia="微软雅黑" w:cs="微软雅黑"/>
          <w:color w:val="auto"/>
          <w:sz w:val="28"/>
          <w:szCs w:val="36"/>
        </w:rPr>
        <w:t>总体要求</w:t>
      </w:r>
      <w:r>
        <w:rPr>
          <w:rFonts w:hint="eastAsia" w:eastAsia="微软雅黑" w:cs="微软雅黑"/>
          <w:color w:val="auto"/>
          <w:sz w:val="28"/>
          <w:szCs w:val="36"/>
        </w:rPr>
        <w:tab/>
      </w:r>
      <w:r>
        <w:rPr>
          <w:rFonts w:hint="eastAsia" w:eastAsia="微软雅黑" w:cs="微软雅黑"/>
          <w:color w:val="auto"/>
          <w:sz w:val="28"/>
          <w:szCs w:val="36"/>
        </w:rPr>
        <w:fldChar w:fldCharType="begin"/>
      </w:r>
      <w:r>
        <w:rPr>
          <w:rFonts w:hint="eastAsia" w:eastAsia="微软雅黑" w:cs="微软雅黑"/>
          <w:color w:val="auto"/>
          <w:sz w:val="28"/>
          <w:szCs w:val="36"/>
        </w:rPr>
        <w:instrText xml:space="preserve"> PAGEREF _Toc23263 \h </w:instrText>
      </w:r>
      <w:r>
        <w:rPr>
          <w:rFonts w:hint="eastAsia" w:eastAsia="微软雅黑" w:cs="微软雅黑"/>
          <w:color w:val="auto"/>
          <w:sz w:val="28"/>
          <w:szCs w:val="36"/>
        </w:rPr>
        <w:fldChar w:fldCharType="separate"/>
      </w:r>
      <w:r>
        <w:rPr>
          <w:rFonts w:hint="eastAsia" w:eastAsia="微软雅黑" w:cs="微软雅黑"/>
          <w:color w:val="auto"/>
          <w:sz w:val="28"/>
          <w:szCs w:val="36"/>
        </w:rPr>
        <w:t>2</w:t>
      </w:r>
      <w:r>
        <w:rPr>
          <w:rFonts w:hint="eastAsia" w:eastAsia="微软雅黑" w:cs="微软雅黑"/>
          <w:color w:val="auto"/>
          <w:sz w:val="28"/>
          <w:szCs w:val="36"/>
        </w:rPr>
        <w:fldChar w:fldCharType="end"/>
      </w:r>
      <w:r>
        <w:rPr>
          <w:rFonts w:hint="eastAsia" w:eastAsia="微软雅黑" w:cs="微软雅黑"/>
          <w:color w:val="auto"/>
          <w:sz w:val="28"/>
          <w:szCs w:val="40"/>
        </w:rPr>
        <w:fldChar w:fldCharType="end"/>
      </w:r>
    </w:p>
    <w:p>
      <w:pPr>
        <w:pStyle w:val="15"/>
        <w:tabs>
          <w:tab w:val="right" w:leader="dot" w:pos="8306"/>
        </w:tabs>
        <w:rPr>
          <w:rFonts w:hint="eastAsia" w:eastAsia="方正仿宋_GB2312" w:cs="方正仿宋_GB2312"/>
          <w:color w:val="auto"/>
          <w:sz w:val="28"/>
          <w:szCs w:val="36"/>
        </w:rPr>
      </w:pPr>
      <w:r>
        <w:rPr>
          <w:rFonts w:hint="eastAsia" w:eastAsia="方正仿宋_GB2312" w:cs="方正仿宋_GB2312"/>
          <w:color w:val="auto"/>
          <w:sz w:val="28"/>
          <w:szCs w:val="40"/>
        </w:rPr>
        <w:fldChar w:fldCharType="begin"/>
      </w:r>
      <w:r>
        <w:rPr>
          <w:rFonts w:hint="eastAsia" w:eastAsia="方正仿宋_GB2312" w:cs="方正仿宋_GB2312"/>
          <w:color w:val="auto"/>
          <w:sz w:val="28"/>
          <w:szCs w:val="40"/>
        </w:rPr>
        <w:instrText xml:space="preserve"> HYPERLINK \l _Toc13851 </w:instrText>
      </w:r>
      <w:r>
        <w:rPr>
          <w:rFonts w:hint="eastAsia" w:eastAsia="方正仿宋_GB2312" w:cs="方正仿宋_GB2312"/>
          <w:color w:val="auto"/>
          <w:sz w:val="28"/>
          <w:szCs w:val="40"/>
        </w:rPr>
        <w:fldChar w:fldCharType="separate"/>
      </w:r>
      <w:r>
        <w:rPr>
          <w:rFonts w:hint="eastAsia" w:eastAsia="方正仿宋_GB2312" w:cs="方正仿宋_GB2312"/>
          <w:bCs/>
          <w:color w:val="auto"/>
          <w:sz w:val="28"/>
          <w:szCs w:val="36"/>
        </w:rPr>
        <w:t xml:space="preserve">（一） </w:t>
      </w:r>
      <w:r>
        <w:rPr>
          <w:rFonts w:hint="eastAsia" w:eastAsia="方正仿宋_GB2312" w:cs="方正仿宋_GB2312"/>
          <w:color w:val="auto"/>
          <w:sz w:val="28"/>
          <w:szCs w:val="36"/>
        </w:rPr>
        <w:t>指导思想</w:t>
      </w:r>
      <w:r>
        <w:rPr>
          <w:rFonts w:hint="eastAsia" w:eastAsia="方正仿宋_GB2312" w:cs="方正仿宋_GB2312"/>
          <w:color w:val="auto"/>
          <w:sz w:val="28"/>
          <w:szCs w:val="36"/>
        </w:rPr>
        <w:tab/>
      </w:r>
      <w:r>
        <w:rPr>
          <w:rFonts w:hint="eastAsia" w:eastAsia="方正仿宋_GB2312" w:cs="方正仿宋_GB2312"/>
          <w:color w:val="auto"/>
          <w:sz w:val="28"/>
          <w:szCs w:val="36"/>
        </w:rPr>
        <w:fldChar w:fldCharType="begin"/>
      </w:r>
      <w:r>
        <w:rPr>
          <w:rFonts w:hint="eastAsia" w:eastAsia="方正仿宋_GB2312" w:cs="方正仿宋_GB2312"/>
          <w:color w:val="auto"/>
          <w:sz w:val="28"/>
          <w:szCs w:val="36"/>
        </w:rPr>
        <w:instrText xml:space="preserve"> PAGEREF _Toc13851 \h </w:instrText>
      </w:r>
      <w:r>
        <w:rPr>
          <w:rFonts w:hint="eastAsia" w:eastAsia="方正仿宋_GB2312" w:cs="方正仿宋_GB2312"/>
          <w:color w:val="auto"/>
          <w:sz w:val="28"/>
          <w:szCs w:val="36"/>
        </w:rPr>
        <w:fldChar w:fldCharType="separate"/>
      </w:r>
      <w:r>
        <w:rPr>
          <w:rFonts w:hint="eastAsia" w:eastAsia="方正仿宋_GB2312" w:cs="方正仿宋_GB2312"/>
          <w:color w:val="auto"/>
          <w:sz w:val="28"/>
          <w:szCs w:val="36"/>
        </w:rPr>
        <w:t>2</w:t>
      </w:r>
      <w:r>
        <w:rPr>
          <w:rFonts w:hint="eastAsia" w:eastAsia="方正仿宋_GB2312" w:cs="方正仿宋_GB2312"/>
          <w:color w:val="auto"/>
          <w:sz w:val="28"/>
          <w:szCs w:val="36"/>
        </w:rPr>
        <w:fldChar w:fldCharType="end"/>
      </w:r>
      <w:r>
        <w:rPr>
          <w:rFonts w:hint="eastAsia" w:eastAsia="方正仿宋_GB2312" w:cs="方正仿宋_GB2312"/>
          <w:color w:val="auto"/>
          <w:sz w:val="28"/>
          <w:szCs w:val="40"/>
        </w:rPr>
        <w:fldChar w:fldCharType="end"/>
      </w:r>
    </w:p>
    <w:p>
      <w:pPr>
        <w:pStyle w:val="15"/>
        <w:tabs>
          <w:tab w:val="right" w:leader="dot" w:pos="8306"/>
        </w:tabs>
        <w:rPr>
          <w:color w:val="auto"/>
        </w:rPr>
      </w:pPr>
      <w:r>
        <w:rPr>
          <w:rFonts w:hint="eastAsia" w:eastAsia="方正仿宋_GB2312" w:cs="方正仿宋_GB2312"/>
          <w:color w:val="auto"/>
          <w:sz w:val="28"/>
          <w:szCs w:val="40"/>
        </w:rPr>
        <w:fldChar w:fldCharType="begin"/>
      </w:r>
      <w:r>
        <w:rPr>
          <w:rFonts w:hint="eastAsia" w:eastAsia="方正仿宋_GB2312" w:cs="方正仿宋_GB2312"/>
          <w:color w:val="auto"/>
          <w:sz w:val="28"/>
          <w:szCs w:val="40"/>
        </w:rPr>
        <w:instrText xml:space="preserve"> HYPERLINK \l _Toc9454 </w:instrText>
      </w:r>
      <w:r>
        <w:rPr>
          <w:rFonts w:hint="eastAsia" w:eastAsia="方正仿宋_GB2312" w:cs="方正仿宋_GB2312"/>
          <w:color w:val="auto"/>
          <w:sz w:val="28"/>
          <w:szCs w:val="40"/>
        </w:rPr>
        <w:fldChar w:fldCharType="separate"/>
      </w:r>
      <w:r>
        <w:rPr>
          <w:rFonts w:hint="eastAsia" w:eastAsia="方正仿宋_GB2312" w:cs="方正仿宋_GB2312"/>
          <w:bCs/>
          <w:color w:val="auto"/>
          <w:sz w:val="28"/>
          <w:szCs w:val="36"/>
        </w:rPr>
        <w:t xml:space="preserve">（二） </w:t>
      </w:r>
      <w:r>
        <w:rPr>
          <w:rFonts w:hint="eastAsia" w:eastAsia="方正仿宋_GB2312" w:cs="方正仿宋_GB2312"/>
          <w:color w:val="auto"/>
          <w:sz w:val="28"/>
          <w:szCs w:val="36"/>
        </w:rPr>
        <w:t>基本原则</w:t>
      </w:r>
      <w:r>
        <w:rPr>
          <w:rFonts w:hint="eastAsia" w:eastAsia="方正仿宋_GB2312" w:cs="方正仿宋_GB2312"/>
          <w:color w:val="auto"/>
          <w:sz w:val="28"/>
          <w:szCs w:val="36"/>
        </w:rPr>
        <w:tab/>
      </w:r>
      <w:r>
        <w:rPr>
          <w:rFonts w:hint="eastAsia" w:eastAsia="方正仿宋_GB2312" w:cs="方正仿宋_GB2312"/>
          <w:color w:val="auto"/>
          <w:sz w:val="28"/>
          <w:szCs w:val="36"/>
        </w:rPr>
        <w:fldChar w:fldCharType="begin"/>
      </w:r>
      <w:r>
        <w:rPr>
          <w:rFonts w:hint="eastAsia" w:eastAsia="方正仿宋_GB2312" w:cs="方正仿宋_GB2312"/>
          <w:color w:val="auto"/>
          <w:sz w:val="28"/>
          <w:szCs w:val="36"/>
        </w:rPr>
        <w:instrText xml:space="preserve"> PAGEREF _Toc9454 \h </w:instrText>
      </w:r>
      <w:r>
        <w:rPr>
          <w:rFonts w:hint="eastAsia" w:eastAsia="方正仿宋_GB2312" w:cs="方正仿宋_GB2312"/>
          <w:color w:val="auto"/>
          <w:sz w:val="28"/>
          <w:szCs w:val="36"/>
        </w:rPr>
        <w:fldChar w:fldCharType="separate"/>
      </w:r>
      <w:r>
        <w:rPr>
          <w:rFonts w:hint="eastAsia" w:eastAsia="方正仿宋_GB2312" w:cs="方正仿宋_GB2312"/>
          <w:color w:val="auto"/>
          <w:sz w:val="28"/>
          <w:szCs w:val="36"/>
        </w:rPr>
        <w:t>2</w:t>
      </w:r>
      <w:r>
        <w:rPr>
          <w:rFonts w:hint="eastAsia" w:eastAsia="方正仿宋_GB2312" w:cs="方正仿宋_GB2312"/>
          <w:color w:val="auto"/>
          <w:sz w:val="28"/>
          <w:szCs w:val="36"/>
        </w:rPr>
        <w:fldChar w:fldCharType="end"/>
      </w:r>
      <w:r>
        <w:rPr>
          <w:rFonts w:hint="eastAsia" w:eastAsia="方正仿宋_GB2312" w:cs="方正仿宋_GB2312"/>
          <w:color w:val="auto"/>
          <w:sz w:val="28"/>
          <w:szCs w:val="40"/>
        </w:rPr>
        <w:fldChar w:fldCharType="end"/>
      </w:r>
    </w:p>
    <w:p>
      <w:pPr>
        <w:pStyle w:val="13"/>
        <w:tabs>
          <w:tab w:val="right" w:leader="dot" w:pos="8306"/>
        </w:tabs>
        <w:rPr>
          <w:rFonts w:hint="eastAsia" w:eastAsia="微软雅黑" w:cs="微软雅黑"/>
          <w:color w:val="auto"/>
          <w:sz w:val="28"/>
          <w:szCs w:val="36"/>
        </w:rPr>
      </w:pPr>
      <w:r>
        <w:rPr>
          <w:rFonts w:hint="eastAsia" w:eastAsia="微软雅黑" w:cs="微软雅黑"/>
          <w:color w:val="auto"/>
          <w:sz w:val="28"/>
          <w:szCs w:val="40"/>
        </w:rPr>
        <w:fldChar w:fldCharType="begin"/>
      </w:r>
      <w:r>
        <w:rPr>
          <w:rFonts w:hint="eastAsia" w:eastAsia="微软雅黑" w:cs="微软雅黑"/>
          <w:color w:val="auto"/>
          <w:sz w:val="28"/>
          <w:szCs w:val="40"/>
        </w:rPr>
        <w:instrText xml:space="preserve"> HYPERLINK \l _Toc20369 </w:instrText>
      </w:r>
      <w:r>
        <w:rPr>
          <w:rFonts w:hint="eastAsia" w:eastAsia="微软雅黑" w:cs="微软雅黑"/>
          <w:color w:val="auto"/>
          <w:sz w:val="28"/>
          <w:szCs w:val="40"/>
        </w:rPr>
        <w:fldChar w:fldCharType="separate"/>
      </w:r>
      <w:r>
        <w:rPr>
          <w:rFonts w:hint="eastAsia" w:eastAsia="微软雅黑" w:cs="微软雅黑"/>
          <w:bCs/>
          <w:color w:val="auto"/>
          <w:sz w:val="28"/>
          <w:szCs w:val="36"/>
        </w:rPr>
        <w:t xml:space="preserve">二、 </w:t>
      </w:r>
      <w:r>
        <w:rPr>
          <w:rFonts w:hint="eastAsia" w:eastAsia="微软雅黑" w:cs="微软雅黑"/>
          <w:color w:val="auto"/>
          <w:sz w:val="28"/>
          <w:szCs w:val="36"/>
        </w:rPr>
        <w:t>分区方案</w:t>
      </w:r>
      <w:r>
        <w:rPr>
          <w:rFonts w:hint="eastAsia" w:eastAsia="微软雅黑" w:cs="微软雅黑"/>
          <w:color w:val="auto"/>
          <w:sz w:val="28"/>
          <w:szCs w:val="36"/>
        </w:rPr>
        <w:tab/>
      </w:r>
      <w:r>
        <w:rPr>
          <w:rFonts w:hint="eastAsia" w:eastAsia="微软雅黑" w:cs="微软雅黑"/>
          <w:color w:val="auto"/>
          <w:sz w:val="28"/>
          <w:szCs w:val="36"/>
        </w:rPr>
        <w:fldChar w:fldCharType="begin"/>
      </w:r>
      <w:r>
        <w:rPr>
          <w:rFonts w:hint="eastAsia" w:eastAsia="微软雅黑" w:cs="微软雅黑"/>
          <w:color w:val="auto"/>
          <w:sz w:val="28"/>
          <w:szCs w:val="36"/>
        </w:rPr>
        <w:instrText xml:space="preserve"> PAGEREF _Toc20369 \h </w:instrText>
      </w:r>
      <w:r>
        <w:rPr>
          <w:rFonts w:hint="eastAsia" w:eastAsia="微软雅黑" w:cs="微软雅黑"/>
          <w:color w:val="auto"/>
          <w:sz w:val="28"/>
          <w:szCs w:val="36"/>
        </w:rPr>
        <w:fldChar w:fldCharType="separate"/>
      </w:r>
      <w:r>
        <w:rPr>
          <w:rFonts w:hint="eastAsia" w:eastAsia="微软雅黑" w:cs="微软雅黑"/>
          <w:color w:val="auto"/>
          <w:sz w:val="28"/>
          <w:szCs w:val="36"/>
        </w:rPr>
        <w:t>3</w:t>
      </w:r>
      <w:r>
        <w:rPr>
          <w:rFonts w:hint="eastAsia" w:eastAsia="微软雅黑" w:cs="微软雅黑"/>
          <w:color w:val="auto"/>
          <w:sz w:val="28"/>
          <w:szCs w:val="36"/>
        </w:rPr>
        <w:fldChar w:fldCharType="end"/>
      </w:r>
      <w:r>
        <w:rPr>
          <w:rFonts w:hint="eastAsia" w:eastAsia="微软雅黑" w:cs="微软雅黑"/>
          <w:color w:val="auto"/>
          <w:sz w:val="28"/>
          <w:szCs w:val="40"/>
        </w:rPr>
        <w:fldChar w:fldCharType="end"/>
      </w:r>
    </w:p>
    <w:p>
      <w:pPr>
        <w:pStyle w:val="15"/>
        <w:tabs>
          <w:tab w:val="right" w:leader="dot" w:pos="8306"/>
        </w:tabs>
        <w:rPr>
          <w:rFonts w:hint="eastAsia" w:eastAsia="方正仿宋_GB2312" w:cs="方正仿宋_GB2312"/>
          <w:color w:val="auto"/>
          <w:sz w:val="28"/>
          <w:szCs w:val="36"/>
        </w:rPr>
      </w:pPr>
      <w:r>
        <w:rPr>
          <w:rFonts w:hint="eastAsia" w:eastAsia="方正仿宋_GB2312" w:cs="方正仿宋_GB2312"/>
          <w:color w:val="auto"/>
          <w:sz w:val="28"/>
          <w:szCs w:val="40"/>
        </w:rPr>
        <w:fldChar w:fldCharType="begin"/>
      </w:r>
      <w:r>
        <w:rPr>
          <w:rFonts w:hint="eastAsia" w:eastAsia="方正仿宋_GB2312" w:cs="方正仿宋_GB2312"/>
          <w:color w:val="auto"/>
          <w:sz w:val="28"/>
          <w:szCs w:val="40"/>
        </w:rPr>
        <w:instrText xml:space="preserve"> HYPERLINK \l _Toc16450 </w:instrText>
      </w:r>
      <w:r>
        <w:rPr>
          <w:rFonts w:hint="eastAsia" w:eastAsia="方正仿宋_GB2312" w:cs="方正仿宋_GB2312"/>
          <w:color w:val="auto"/>
          <w:sz w:val="28"/>
          <w:szCs w:val="40"/>
        </w:rPr>
        <w:fldChar w:fldCharType="separate"/>
      </w:r>
      <w:r>
        <w:rPr>
          <w:rFonts w:hint="eastAsia" w:eastAsia="方正仿宋_GB2312" w:cs="方正仿宋_GB2312"/>
          <w:color w:val="auto"/>
          <w:sz w:val="28"/>
          <w:szCs w:val="44"/>
        </w:rPr>
        <w:t>（一）一级生态区</w:t>
      </w:r>
      <w:r>
        <w:rPr>
          <w:rFonts w:hint="eastAsia" w:eastAsia="方正仿宋_GB2312" w:cs="方正仿宋_GB2312"/>
          <w:color w:val="auto"/>
          <w:sz w:val="28"/>
          <w:szCs w:val="36"/>
        </w:rPr>
        <w:tab/>
      </w:r>
      <w:r>
        <w:rPr>
          <w:rFonts w:hint="eastAsia" w:eastAsia="方正仿宋_GB2312" w:cs="方正仿宋_GB2312"/>
          <w:color w:val="auto"/>
          <w:sz w:val="28"/>
          <w:szCs w:val="36"/>
        </w:rPr>
        <w:fldChar w:fldCharType="begin"/>
      </w:r>
      <w:r>
        <w:rPr>
          <w:rFonts w:hint="eastAsia" w:eastAsia="方正仿宋_GB2312" w:cs="方正仿宋_GB2312"/>
          <w:color w:val="auto"/>
          <w:sz w:val="28"/>
          <w:szCs w:val="36"/>
        </w:rPr>
        <w:instrText xml:space="preserve"> PAGEREF _Toc16450 \h </w:instrText>
      </w:r>
      <w:r>
        <w:rPr>
          <w:rFonts w:hint="eastAsia" w:eastAsia="方正仿宋_GB2312" w:cs="方正仿宋_GB2312"/>
          <w:color w:val="auto"/>
          <w:sz w:val="28"/>
          <w:szCs w:val="36"/>
        </w:rPr>
        <w:fldChar w:fldCharType="separate"/>
      </w:r>
      <w:r>
        <w:rPr>
          <w:rFonts w:hint="eastAsia" w:eastAsia="方正仿宋_GB2312" w:cs="方正仿宋_GB2312"/>
          <w:color w:val="auto"/>
          <w:sz w:val="28"/>
          <w:szCs w:val="36"/>
        </w:rPr>
        <w:t>3</w:t>
      </w:r>
      <w:r>
        <w:rPr>
          <w:rFonts w:hint="eastAsia" w:eastAsia="方正仿宋_GB2312" w:cs="方正仿宋_GB2312"/>
          <w:color w:val="auto"/>
          <w:sz w:val="28"/>
          <w:szCs w:val="36"/>
        </w:rPr>
        <w:fldChar w:fldCharType="end"/>
      </w:r>
      <w:r>
        <w:rPr>
          <w:rFonts w:hint="eastAsia" w:eastAsia="方正仿宋_GB2312" w:cs="方正仿宋_GB2312"/>
          <w:color w:val="auto"/>
          <w:sz w:val="28"/>
          <w:szCs w:val="40"/>
        </w:rPr>
        <w:fldChar w:fldCharType="end"/>
      </w:r>
    </w:p>
    <w:p>
      <w:pPr>
        <w:pStyle w:val="15"/>
        <w:tabs>
          <w:tab w:val="right" w:leader="dot" w:pos="8306"/>
        </w:tabs>
        <w:rPr>
          <w:rFonts w:hint="eastAsia" w:eastAsia="方正仿宋_GB2312" w:cs="方正仿宋_GB2312"/>
          <w:color w:val="auto"/>
          <w:sz w:val="28"/>
          <w:szCs w:val="36"/>
        </w:rPr>
      </w:pPr>
      <w:r>
        <w:rPr>
          <w:rFonts w:hint="eastAsia" w:eastAsia="方正仿宋_GB2312" w:cs="方正仿宋_GB2312"/>
          <w:color w:val="auto"/>
          <w:sz w:val="28"/>
          <w:szCs w:val="40"/>
        </w:rPr>
        <w:fldChar w:fldCharType="begin"/>
      </w:r>
      <w:r>
        <w:rPr>
          <w:rFonts w:hint="eastAsia" w:eastAsia="方正仿宋_GB2312" w:cs="方正仿宋_GB2312"/>
          <w:color w:val="auto"/>
          <w:sz w:val="28"/>
          <w:szCs w:val="40"/>
        </w:rPr>
        <w:instrText xml:space="preserve"> HYPERLINK \l _Toc23185 </w:instrText>
      </w:r>
      <w:r>
        <w:rPr>
          <w:rFonts w:hint="eastAsia" w:eastAsia="方正仿宋_GB2312" w:cs="方正仿宋_GB2312"/>
          <w:color w:val="auto"/>
          <w:sz w:val="28"/>
          <w:szCs w:val="40"/>
        </w:rPr>
        <w:fldChar w:fldCharType="separate"/>
      </w:r>
      <w:r>
        <w:rPr>
          <w:rFonts w:hint="eastAsia" w:eastAsia="方正仿宋_GB2312" w:cs="方正仿宋_GB2312"/>
          <w:color w:val="auto"/>
          <w:sz w:val="28"/>
          <w:szCs w:val="44"/>
        </w:rPr>
        <w:t>（二）二级生态区</w:t>
      </w:r>
      <w:r>
        <w:rPr>
          <w:rFonts w:hint="eastAsia" w:eastAsia="方正仿宋_GB2312" w:cs="方正仿宋_GB2312"/>
          <w:color w:val="auto"/>
          <w:sz w:val="28"/>
          <w:szCs w:val="36"/>
        </w:rPr>
        <w:tab/>
      </w:r>
      <w:r>
        <w:rPr>
          <w:rFonts w:hint="eastAsia" w:eastAsia="方正仿宋_GB2312" w:cs="方正仿宋_GB2312"/>
          <w:color w:val="auto"/>
          <w:sz w:val="28"/>
          <w:szCs w:val="36"/>
        </w:rPr>
        <w:fldChar w:fldCharType="begin"/>
      </w:r>
      <w:r>
        <w:rPr>
          <w:rFonts w:hint="eastAsia" w:eastAsia="方正仿宋_GB2312" w:cs="方正仿宋_GB2312"/>
          <w:color w:val="auto"/>
          <w:sz w:val="28"/>
          <w:szCs w:val="36"/>
        </w:rPr>
        <w:instrText xml:space="preserve"> PAGEREF _Toc23185 \h </w:instrText>
      </w:r>
      <w:r>
        <w:rPr>
          <w:rFonts w:hint="eastAsia" w:eastAsia="方正仿宋_GB2312" w:cs="方正仿宋_GB2312"/>
          <w:color w:val="auto"/>
          <w:sz w:val="28"/>
          <w:szCs w:val="36"/>
        </w:rPr>
        <w:fldChar w:fldCharType="separate"/>
      </w:r>
      <w:r>
        <w:rPr>
          <w:rFonts w:hint="eastAsia" w:eastAsia="方正仿宋_GB2312" w:cs="方正仿宋_GB2312"/>
          <w:color w:val="auto"/>
          <w:sz w:val="28"/>
          <w:szCs w:val="36"/>
        </w:rPr>
        <w:t>5</w:t>
      </w:r>
      <w:r>
        <w:rPr>
          <w:rFonts w:hint="eastAsia" w:eastAsia="方正仿宋_GB2312" w:cs="方正仿宋_GB2312"/>
          <w:color w:val="auto"/>
          <w:sz w:val="28"/>
          <w:szCs w:val="36"/>
        </w:rPr>
        <w:fldChar w:fldCharType="end"/>
      </w:r>
      <w:r>
        <w:rPr>
          <w:rFonts w:hint="eastAsia" w:eastAsia="方正仿宋_GB2312" w:cs="方正仿宋_GB2312"/>
          <w:color w:val="auto"/>
          <w:sz w:val="28"/>
          <w:szCs w:val="40"/>
        </w:rPr>
        <w:fldChar w:fldCharType="end"/>
      </w:r>
    </w:p>
    <w:p>
      <w:pPr>
        <w:pStyle w:val="15"/>
        <w:tabs>
          <w:tab w:val="right" w:leader="dot" w:pos="8306"/>
        </w:tabs>
        <w:rPr>
          <w:color w:val="auto"/>
        </w:rPr>
      </w:pPr>
      <w:r>
        <w:rPr>
          <w:rFonts w:hint="eastAsia" w:eastAsia="方正仿宋_GB2312" w:cs="方正仿宋_GB2312"/>
          <w:color w:val="auto"/>
          <w:sz w:val="28"/>
          <w:szCs w:val="40"/>
        </w:rPr>
        <w:fldChar w:fldCharType="begin"/>
      </w:r>
      <w:r>
        <w:rPr>
          <w:rFonts w:hint="eastAsia" w:eastAsia="方正仿宋_GB2312" w:cs="方正仿宋_GB2312"/>
          <w:color w:val="auto"/>
          <w:sz w:val="28"/>
          <w:szCs w:val="40"/>
        </w:rPr>
        <w:instrText xml:space="preserve"> HYPERLINK \l _Toc19436 </w:instrText>
      </w:r>
      <w:r>
        <w:rPr>
          <w:rFonts w:hint="eastAsia" w:eastAsia="方正仿宋_GB2312" w:cs="方正仿宋_GB2312"/>
          <w:color w:val="auto"/>
          <w:sz w:val="28"/>
          <w:szCs w:val="40"/>
        </w:rPr>
        <w:fldChar w:fldCharType="separate"/>
      </w:r>
      <w:r>
        <w:rPr>
          <w:rFonts w:hint="eastAsia" w:eastAsia="方正仿宋_GB2312" w:cs="方正仿宋_GB2312"/>
          <w:color w:val="auto"/>
          <w:sz w:val="28"/>
          <w:szCs w:val="44"/>
        </w:rPr>
        <w:t>（三）三级生态区</w:t>
      </w:r>
      <w:r>
        <w:rPr>
          <w:rFonts w:hint="eastAsia" w:eastAsia="方正仿宋_GB2312" w:cs="方正仿宋_GB2312"/>
          <w:color w:val="auto"/>
          <w:sz w:val="28"/>
          <w:szCs w:val="36"/>
        </w:rPr>
        <w:tab/>
      </w:r>
      <w:r>
        <w:rPr>
          <w:rFonts w:hint="eastAsia" w:eastAsia="方正仿宋_GB2312" w:cs="方正仿宋_GB2312"/>
          <w:color w:val="auto"/>
          <w:sz w:val="28"/>
          <w:szCs w:val="36"/>
        </w:rPr>
        <w:fldChar w:fldCharType="begin"/>
      </w:r>
      <w:r>
        <w:rPr>
          <w:rFonts w:hint="eastAsia" w:eastAsia="方正仿宋_GB2312" w:cs="方正仿宋_GB2312"/>
          <w:color w:val="auto"/>
          <w:sz w:val="28"/>
          <w:szCs w:val="36"/>
        </w:rPr>
        <w:instrText xml:space="preserve"> PAGEREF _Toc19436 \h </w:instrText>
      </w:r>
      <w:r>
        <w:rPr>
          <w:rFonts w:hint="eastAsia" w:eastAsia="方正仿宋_GB2312" w:cs="方正仿宋_GB2312"/>
          <w:color w:val="auto"/>
          <w:sz w:val="28"/>
          <w:szCs w:val="36"/>
        </w:rPr>
        <w:fldChar w:fldCharType="separate"/>
      </w:r>
      <w:r>
        <w:rPr>
          <w:rFonts w:hint="eastAsia" w:eastAsia="方正仿宋_GB2312" w:cs="方正仿宋_GB2312"/>
          <w:color w:val="auto"/>
          <w:sz w:val="28"/>
          <w:szCs w:val="36"/>
        </w:rPr>
        <w:t>11</w:t>
      </w:r>
      <w:r>
        <w:rPr>
          <w:rFonts w:hint="eastAsia" w:eastAsia="方正仿宋_GB2312" w:cs="方正仿宋_GB2312"/>
          <w:color w:val="auto"/>
          <w:sz w:val="28"/>
          <w:szCs w:val="36"/>
        </w:rPr>
        <w:fldChar w:fldCharType="end"/>
      </w:r>
      <w:r>
        <w:rPr>
          <w:rFonts w:hint="eastAsia" w:eastAsia="方正仿宋_GB2312" w:cs="方正仿宋_GB2312"/>
          <w:color w:val="auto"/>
          <w:sz w:val="28"/>
          <w:szCs w:val="40"/>
        </w:rPr>
        <w:fldChar w:fldCharType="end"/>
      </w:r>
    </w:p>
    <w:p>
      <w:pPr>
        <w:pStyle w:val="13"/>
        <w:tabs>
          <w:tab w:val="right" w:leader="dot" w:pos="8306"/>
        </w:tabs>
        <w:rPr>
          <w:color w:val="auto"/>
        </w:rPr>
      </w:pPr>
    </w:p>
    <w:p>
      <w:pPr>
        <w:pStyle w:val="13"/>
        <w:tabs>
          <w:tab w:val="right" w:leader="dot" w:pos="8306"/>
        </w:tabs>
        <w:rPr>
          <w:color w:val="auto"/>
        </w:rPr>
      </w:pPr>
      <w:r>
        <w:rPr>
          <w:rFonts w:hint="eastAsia" w:eastAsia="黑体" w:cs="黑体"/>
          <w:color w:val="auto"/>
          <w:szCs w:val="28"/>
        </w:rPr>
        <w:fldChar w:fldCharType="end"/>
      </w:r>
    </w:p>
    <w:p>
      <w:pPr>
        <w:rPr>
          <w:rFonts w:hint="eastAsia" w:eastAsia="黑体" w:cs="黑体"/>
          <w:color w:val="auto"/>
          <w:sz w:val="28"/>
          <w:szCs w:val="28"/>
        </w:rPr>
        <w:sectPr>
          <w:footerReference r:id="rId6" w:type="default"/>
          <w:pgSz w:w="11906" w:h="16838"/>
          <w:pgMar w:top="1440" w:right="1800" w:bottom="1440" w:left="1800" w:header="851" w:footer="992" w:gutter="0"/>
          <w:pgNumType w:fmt="upperRoman" w:start="1"/>
          <w:cols w:space="720" w:num="1"/>
          <w:docGrid w:type="lines" w:linePitch="312" w:charSpace="0"/>
        </w:sectPr>
      </w:pPr>
    </w:p>
    <w:p>
      <w:pPr>
        <w:pStyle w:val="4"/>
        <w:numPr>
          <w:ilvl w:val="0"/>
          <w:numId w:val="1"/>
        </w:numPr>
        <w:snapToGrid w:val="0"/>
        <w:spacing w:before="156" w:after="156"/>
        <w:ind w:firstLine="643" w:firstLineChars="0"/>
        <w:rPr>
          <w:rFonts w:hint="eastAsia"/>
          <w:b w:val="0"/>
          <w:bCs w:val="0"/>
          <w:color w:val="auto"/>
        </w:rPr>
      </w:pPr>
      <w:bookmarkStart w:id="1" w:name="_Toc23263"/>
      <w:r>
        <w:rPr>
          <w:rFonts w:hint="eastAsia"/>
          <w:b w:val="0"/>
          <w:bCs w:val="0"/>
          <w:color w:val="auto"/>
        </w:rPr>
        <w:t>总体要求</w:t>
      </w:r>
      <w:bookmarkEnd w:id="1"/>
    </w:p>
    <w:p>
      <w:pPr>
        <w:pStyle w:val="5"/>
        <w:numPr>
          <w:ilvl w:val="0"/>
          <w:numId w:val="2"/>
        </w:numPr>
        <w:snapToGrid w:val="0"/>
        <w:spacing w:before="156" w:after="156"/>
        <w:ind w:left="0" w:firstLine="640"/>
        <w:rPr>
          <w:rFonts w:hint="eastAsia" w:ascii="Times New Roman" w:hAnsi="Times New Roman"/>
          <w:b w:val="0"/>
          <w:bCs w:val="0"/>
          <w:color w:val="auto"/>
        </w:rPr>
      </w:pPr>
      <w:bookmarkStart w:id="2" w:name="_Toc23649"/>
      <w:bookmarkStart w:id="3" w:name="_Toc13851"/>
      <w:r>
        <w:rPr>
          <w:rFonts w:hint="eastAsia" w:ascii="Times New Roman" w:hAnsi="Times New Roman"/>
          <w:b w:val="0"/>
          <w:bCs w:val="0"/>
          <w:color w:val="auto"/>
        </w:rPr>
        <w:t>指导思想</w:t>
      </w:r>
      <w:bookmarkEnd w:id="2"/>
      <w:bookmarkEnd w:id="3"/>
    </w:p>
    <w:p>
      <w:pPr>
        <w:snapToGrid w:val="0"/>
        <w:spacing w:beforeLines="0" w:line="560" w:lineRule="exact"/>
        <w:ind w:firstLine="640" w:firstLineChars="200"/>
        <w:rPr>
          <w:rFonts w:hint="eastAsia" w:eastAsia="方正仿宋_GB2312" w:cs="方正仿宋_GB2312"/>
          <w:color w:val="auto"/>
          <w:sz w:val="32"/>
          <w:szCs w:val="32"/>
        </w:rPr>
      </w:pPr>
      <w:r>
        <w:rPr>
          <w:rFonts w:hint="eastAsia" w:eastAsia="方正仿宋_GB2312" w:cs="方正仿宋_GB2312"/>
          <w:color w:val="auto"/>
          <w:sz w:val="32"/>
          <w:szCs w:val="32"/>
        </w:rPr>
        <w:t>为认真</w:t>
      </w:r>
      <w:r>
        <w:rPr>
          <w:rFonts w:hint="eastAsia" w:eastAsia="方正仿宋_GB2312" w:cs="方正仿宋_GB2312"/>
          <w:color w:val="auto"/>
          <w:sz w:val="32"/>
          <w:szCs w:val="32"/>
          <w:lang w:eastAsia="zh-CN"/>
        </w:rPr>
        <w:t>学习</w:t>
      </w:r>
      <w:r>
        <w:rPr>
          <w:rFonts w:hint="eastAsia" w:eastAsia="方正仿宋_GB2312" w:cs="方正仿宋_GB2312"/>
          <w:color w:val="auto"/>
          <w:sz w:val="32"/>
          <w:szCs w:val="32"/>
        </w:rPr>
        <w:t>贯彻习近平生态文明思想，贯彻落实党的二十大精神，树立和践行绿水青山就是金山银山的理念，坚持山水林田湖草</w:t>
      </w:r>
      <w:r>
        <w:rPr>
          <w:rFonts w:hint="default" w:ascii="Times New Roman" w:hAnsi="Times New Roman" w:eastAsia="方正仿宋_GB2312" w:cs="方正仿宋_GB2312"/>
          <w:color w:val="000000"/>
          <w:sz w:val="32"/>
          <w:szCs w:val="32"/>
        </w:rPr>
        <w:t>沙</w:t>
      </w:r>
      <w:r>
        <w:rPr>
          <w:rFonts w:hint="eastAsia" w:eastAsia="方正仿宋_GB2312" w:cs="方正仿宋_GB2312"/>
          <w:color w:val="auto"/>
          <w:sz w:val="32"/>
          <w:szCs w:val="32"/>
        </w:rPr>
        <w:t>一体化保护和系统治理，坚持系统观念，坚持目标导向与问题导向相结合，统筹考虑</w:t>
      </w:r>
      <w:r>
        <w:rPr>
          <w:rFonts w:hint="eastAsia" w:eastAsia="方正仿宋_GB2312" w:cs="方正仿宋_GB2312"/>
          <w:color w:val="auto"/>
          <w:sz w:val="32"/>
          <w:szCs w:val="32"/>
          <w:highlight w:val="none"/>
          <w:lang w:val="en-US" w:eastAsia="zh-CN"/>
        </w:rPr>
        <w:t>生态特征</w:t>
      </w:r>
      <w:r>
        <w:rPr>
          <w:rFonts w:hint="eastAsia" w:eastAsia="方正仿宋_GB2312" w:cs="方正仿宋_GB2312"/>
          <w:color w:val="auto"/>
          <w:sz w:val="32"/>
          <w:szCs w:val="32"/>
        </w:rPr>
        <w:t>、生态禀赋、生态机理和土地利用等因素，开展</w:t>
      </w:r>
      <w:r>
        <w:rPr>
          <w:rFonts w:hint="eastAsia" w:eastAsia="方正仿宋_GB2312" w:cs="方正仿宋_GB2312"/>
          <w:color w:val="auto"/>
          <w:sz w:val="32"/>
          <w:szCs w:val="32"/>
          <w:lang w:eastAsia="zh-CN"/>
        </w:rPr>
        <w:t>中国陆域生态基础分区</w:t>
      </w:r>
      <w:r>
        <w:rPr>
          <w:rFonts w:hint="eastAsia" w:eastAsia="方正仿宋_GB2312" w:cs="方正仿宋_GB2312"/>
          <w:color w:val="auto"/>
          <w:sz w:val="32"/>
          <w:szCs w:val="32"/>
        </w:rPr>
        <w:t>，为科学开展国土空间生态保护修复</w:t>
      </w:r>
      <w:r>
        <w:rPr>
          <w:rFonts w:hint="eastAsia" w:eastAsia="方正仿宋_GB2312" w:cs="方正仿宋_GB2312"/>
          <w:color w:val="auto"/>
          <w:sz w:val="32"/>
          <w:szCs w:val="32"/>
          <w:lang w:eastAsia="zh-CN"/>
        </w:rPr>
        <w:t>和</w:t>
      </w:r>
      <w:r>
        <w:rPr>
          <w:rFonts w:hint="eastAsia" w:ascii="Cambria" w:hAnsi="Cambria" w:eastAsia="方正仿宋_GB2312" w:cs="方正仿宋_GB2312"/>
          <w:color w:val="auto"/>
          <w:sz w:val="32"/>
          <w:szCs w:val="32"/>
        </w:rPr>
        <w:t>生态监测评价预警</w:t>
      </w:r>
      <w:r>
        <w:rPr>
          <w:rFonts w:hint="eastAsia" w:eastAsia="方正仿宋_GB2312" w:cs="方正仿宋_GB2312"/>
          <w:color w:val="auto"/>
          <w:sz w:val="32"/>
          <w:szCs w:val="32"/>
        </w:rPr>
        <w:t>工作</w:t>
      </w:r>
      <w:r>
        <w:rPr>
          <w:rFonts w:hint="eastAsia" w:eastAsia="方正仿宋_GB2312" w:cs="方正仿宋_GB2312"/>
          <w:color w:val="auto"/>
          <w:sz w:val="32"/>
          <w:szCs w:val="32"/>
          <w:lang w:eastAsia="zh-CN"/>
        </w:rPr>
        <w:t>等</w:t>
      </w:r>
      <w:r>
        <w:rPr>
          <w:rFonts w:hint="eastAsia" w:eastAsia="方正仿宋_GB2312" w:cs="方正仿宋_GB2312"/>
          <w:color w:val="auto"/>
          <w:sz w:val="32"/>
          <w:szCs w:val="32"/>
        </w:rPr>
        <w:t>提供</w:t>
      </w:r>
      <w:r>
        <w:rPr>
          <w:rFonts w:hint="eastAsia" w:eastAsia="方正仿宋_GB2312" w:cs="方正仿宋_GB2312"/>
          <w:color w:val="auto"/>
          <w:sz w:val="32"/>
          <w:szCs w:val="32"/>
          <w:lang w:eastAsia="zh-CN"/>
        </w:rPr>
        <w:t>技术性基础框架和参考</w:t>
      </w:r>
      <w:r>
        <w:rPr>
          <w:rFonts w:hint="eastAsia" w:eastAsia="方正仿宋_GB2312" w:cs="方正仿宋_GB2312"/>
          <w:color w:val="auto"/>
          <w:sz w:val="32"/>
          <w:szCs w:val="32"/>
        </w:rPr>
        <w:t>，维护国家生态安全，助力提升生态系统多样性、稳定性、持续性。</w:t>
      </w:r>
    </w:p>
    <w:p>
      <w:pPr>
        <w:pStyle w:val="5"/>
        <w:numPr>
          <w:ilvl w:val="0"/>
          <w:numId w:val="2"/>
        </w:numPr>
        <w:snapToGrid w:val="0"/>
        <w:spacing w:before="0" w:beforeLines="0" w:after="156" w:line="560" w:lineRule="exact"/>
        <w:ind w:left="0" w:firstLine="640"/>
        <w:rPr>
          <w:rFonts w:hint="eastAsia" w:ascii="Times New Roman" w:hAnsi="Times New Roman"/>
          <w:b w:val="0"/>
          <w:bCs w:val="0"/>
          <w:color w:val="auto"/>
        </w:rPr>
      </w:pPr>
      <w:bookmarkStart w:id="4" w:name="_Toc1464"/>
      <w:bookmarkStart w:id="5" w:name="_Toc9454"/>
      <w:r>
        <w:rPr>
          <w:rFonts w:hint="eastAsia" w:ascii="Times New Roman" w:hAnsi="Times New Roman"/>
          <w:b w:val="0"/>
          <w:bCs w:val="0"/>
          <w:color w:val="auto"/>
        </w:rPr>
        <w:t>基本原则</w:t>
      </w:r>
      <w:bookmarkEnd w:id="4"/>
      <w:bookmarkEnd w:id="5"/>
    </w:p>
    <w:p>
      <w:pPr>
        <w:snapToGrid w:val="0"/>
        <w:spacing w:beforeLines="0" w:line="560" w:lineRule="exact"/>
        <w:ind w:firstLine="640" w:firstLineChars="200"/>
        <w:rPr>
          <w:rFonts w:hint="eastAsia" w:eastAsia="方正仿宋_GB2312" w:cs="微软雅黑"/>
          <w:color w:val="auto"/>
          <w:sz w:val="32"/>
          <w:szCs w:val="32"/>
        </w:rPr>
      </w:pPr>
      <w:r>
        <w:rPr>
          <w:rFonts w:hint="eastAsia" w:eastAsia="方正仿宋_GB2312" w:cs="微软雅黑"/>
          <w:color w:val="auto"/>
          <w:sz w:val="32"/>
          <w:szCs w:val="32"/>
        </w:rPr>
        <w:t>1. 科学性与系统性相结合。</w:t>
      </w:r>
      <w:r>
        <w:rPr>
          <w:rFonts w:hint="eastAsia" w:eastAsia="方正仿宋_GB2312" w:cs="微软雅黑"/>
          <w:color w:val="auto"/>
          <w:sz w:val="32"/>
          <w:szCs w:val="32"/>
          <w:lang w:val="en-US" w:eastAsia="zh-CN"/>
        </w:rPr>
        <w:t>分区</w:t>
      </w:r>
      <w:r>
        <w:rPr>
          <w:rFonts w:hint="eastAsia" w:eastAsia="方正仿宋_GB2312" w:cs="微软雅黑"/>
          <w:color w:val="auto"/>
          <w:sz w:val="32"/>
          <w:szCs w:val="32"/>
        </w:rPr>
        <w:t>立足我国自然地理格局、遵循生态系统演替内在规律，借鉴国</w:t>
      </w:r>
      <w:r>
        <w:rPr>
          <w:rFonts w:hint="eastAsia" w:eastAsia="方正仿宋_GB2312" w:cs="微软雅黑"/>
          <w:color w:val="auto"/>
          <w:sz w:val="32"/>
          <w:szCs w:val="32"/>
          <w:lang w:eastAsia="zh-CN"/>
        </w:rPr>
        <w:t>内外</w:t>
      </w:r>
      <w:r>
        <w:rPr>
          <w:rFonts w:hint="eastAsia" w:eastAsia="方正仿宋_GB2312" w:cs="微软雅黑"/>
          <w:color w:val="auto"/>
          <w:sz w:val="32"/>
          <w:szCs w:val="32"/>
        </w:rPr>
        <w:t>生态区划理念，根据生态区域内相似性、区域间分异</w:t>
      </w:r>
      <w:r>
        <w:rPr>
          <w:rFonts w:hint="eastAsia" w:eastAsia="方正仿宋_GB2312" w:cs="微软雅黑"/>
          <w:color w:val="auto"/>
          <w:sz w:val="32"/>
          <w:szCs w:val="32"/>
          <w:lang w:eastAsia="zh-CN"/>
        </w:rPr>
        <w:t>性</w:t>
      </w:r>
      <w:r>
        <w:rPr>
          <w:rFonts w:hint="eastAsia" w:eastAsia="方正仿宋_GB2312" w:cs="微软雅黑"/>
          <w:color w:val="auto"/>
          <w:sz w:val="32"/>
          <w:szCs w:val="32"/>
        </w:rPr>
        <w:t>，保持自然地理单元的相对完整性</w:t>
      </w:r>
      <w:r>
        <w:rPr>
          <w:rFonts w:hint="eastAsia" w:eastAsia="方正仿宋_GB2312" w:cs="微软雅黑"/>
          <w:color w:val="auto"/>
          <w:sz w:val="32"/>
          <w:szCs w:val="32"/>
          <w:lang w:eastAsia="zh-CN"/>
        </w:rPr>
        <w:t>、</w:t>
      </w:r>
      <w:r>
        <w:rPr>
          <w:rFonts w:hint="eastAsia" w:eastAsia="方正仿宋_GB2312" w:cs="微软雅黑"/>
          <w:color w:val="auto"/>
          <w:sz w:val="32"/>
          <w:szCs w:val="32"/>
        </w:rPr>
        <w:t>连续性。</w:t>
      </w:r>
    </w:p>
    <w:p>
      <w:pPr>
        <w:snapToGrid w:val="0"/>
        <w:spacing w:beforeLines="0" w:line="560" w:lineRule="exact"/>
        <w:ind w:firstLine="640" w:firstLineChars="200"/>
        <w:rPr>
          <w:rFonts w:hint="eastAsia" w:eastAsia="方正仿宋_GB2312" w:cs="微软雅黑"/>
          <w:color w:val="auto"/>
          <w:sz w:val="32"/>
          <w:szCs w:val="32"/>
        </w:rPr>
      </w:pPr>
      <w:r>
        <w:rPr>
          <w:rFonts w:hint="eastAsia" w:eastAsia="方正仿宋_GB2312" w:cs="微软雅黑"/>
          <w:color w:val="auto"/>
          <w:sz w:val="32"/>
          <w:szCs w:val="32"/>
        </w:rPr>
        <w:t>2. 综合性与主导性相结合。从满足国家山水林田湖草</w:t>
      </w:r>
      <w:r>
        <w:rPr>
          <w:rFonts w:hint="default" w:ascii="Times New Roman" w:hAnsi="Times New Roman" w:eastAsia="方正仿宋_GB2312" w:cs="微软雅黑"/>
          <w:color w:val="000000"/>
          <w:sz w:val="32"/>
          <w:szCs w:val="32"/>
        </w:rPr>
        <w:t>沙</w:t>
      </w:r>
      <w:r>
        <w:rPr>
          <w:rFonts w:hint="eastAsia" w:eastAsia="方正仿宋_GB2312" w:cs="微软雅黑"/>
          <w:color w:val="auto"/>
          <w:sz w:val="32"/>
          <w:szCs w:val="32"/>
        </w:rPr>
        <w:t>一体化保护和系统治理需要、维护国家生态安全出发，一体化考量地上、地表、地下自然</w:t>
      </w:r>
      <w:r>
        <w:rPr>
          <w:rFonts w:hint="eastAsia" w:eastAsia="方正仿宋_GB2312" w:cs="微软雅黑"/>
          <w:color w:val="auto"/>
          <w:sz w:val="32"/>
          <w:szCs w:val="32"/>
          <w:lang w:val="en-US" w:eastAsia="zh-CN"/>
        </w:rPr>
        <w:t>各</w:t>
      </w:r>
      <w:r>
        <w:rPr>
          <w:rFonts w:hint="eastAsia" w:eastAsia="方正仿宋_GB2312" w:cs="微软雅黑"/>
          <w:color w:val="auto"/>
          <w:sz w:val="32"/>
          <w:szCs w:val="32"/>
        </w:rPr>
        <w:t>要素</w:t>
      </w:r>
      <w:r>
        <w:rPr>
          <w:rFonts w:hint="eastAsia" w:eastAsia="方正仿宋_GB2312" w:cs="微软雅黑"/>
          <w:color w:val="auto"/>
          <w:sz w:val="32"/>
          <w:szCs w:val="32"/>
          <w:lang w:eastAsia="zh-CN"/>
        </w:rPr>
        <w:t>，</w:t>
      </w:r>
      <w:r>
        <w:rPr>
          <w:rFonts w:hint="eastAsia" w:eastAsia="方正仿宋_GB2312" w:cs="微软雅黑"/>
          <w:color w:val="auto"/>
          <w:sz w:val="32"/>
          <w:szCs w:val="32"/>
        </w:rPr>
        <w:t>进行</w:t>
      </w:r>
      <w:r>
        <w:rPr>
          <w:rFonts w:hint="eastAsia" w:eastAsia="方正仿宋_GB2312" w:cs="微软雅黑"/>
          <w:color w:val="auto"/>
          <w:sz w:val="32"/>
          <w:szCs w:val="32"/>
          <w:lang w:eastAsia="zh-CN"/>
        </w:rPr>
        <w:t>不同区域</w:t>
      </w:r>
      <w:r>
        <w:rPr>
          <w:rFonts w:hint="eastAsia" w:eastAsia="方正仿宋_GB2312" w:cs="微软雅黑"/>
          <w:color w:val="auto"/>
          <w:sz w:val="32"/>
          <w:szCs w:val="32"/>
        </w:rPr>
        <w:t>尺度</w:t>
      </w:r>
      <w:r>
        <w:rPr>
          <w:rFonts w:hint="eastAsia" w:eastAsia="方正仿宋_GB2312" w:cs="微软雅黑"/>
          <w:color w:val="auto"/>
          <w:sz w:val="32"/>
          <w:szCs w:val="32"/>
          <w:lang w:eastAsia="zh-CN"/>
        </w:rPr>
        <w:t>综合</w:t>
      </w:r>
      <w:r>
        <w:rPr>
          <w:rFonts w:hint="eastAsia" w:eastAsia="方正仿宋_GB2312" w:cs="微软雅黑"/>
          <w:color w:val="auto"/>
          <w:sz w:val="32"/>
          <w:szCs w:val="32"/>
        </w:rPr>
        <w:t>分区。</w:t>
      </w:r>
    </w:p>
    <w:p>
      <w:pPr>
        <w:snapToGrid w:val="0"/>
        <w:spacing w:beforeLines="0" w:line="560" w:lineRule="exact"/>
        <w:ind w:firstLine="640" w:firstLineChars="200"/>
        <w:rPr>
          <w:rFonts w:hint="eastAsia" w:eastAsia="方正仿宋_GB2312" w:cs="微软雅黑"/>
          <w:color w:val="auto"/>
          <w:sz w:val="32"/>
          <w:szCs w:val="32"/>
        </w:rPr>
      </w:pPr>
      <w:r>
        <w:rPr>
          <w:rFonts w:hint="eastAsia" w:eastAsia="方正仿宋_GB2312" w:cs="微软雅黑"/>
          <w:color w:val="auto"/>
          <w:sz w:val="32"/>
          <w:szCs w:val="32"/>
        </w:rPr>
        <w:t>3. 实用性与协调性相结合。分区</w:t>
      </w:r>
      <w:r>
        <w:rPr>
          <w:rFonts w:hint="eastAsia" w:eastAsia="方正仿宋_GB2312" w:cs="微软雅黑"/>
          <w:color w:val="auto"/>
          <w:sz w:val="32"/>
          <w:szCs w:val="32"/>
          <w:lang w:eastAsia="zh-CN"/>
        </w:rPr>
        <w:t>服务于</w:t>
      </w:r>
      <w:r>
        <w:rPr>
          <w:rFonts w:hint="eastAsia" w:eastAsia="方正仿宋_GB2312" w:cs="微软雅黑"/>
          <w:color w:val="auto"/>
          <w:sz w:val="32"/>
          <w:szCs w:val="32"/>
        </w:rPr>
        <w:t>国家重大战略、国土空间规划和生态保护修复规划</w:t>
      </w:r>
      <w:r>
        <w:rPr>
          <w:rFonts w:hint="eastAsia" w:eastAsia="方正仿宋_GB2312" w:cs="微软雅黑"/>
          <w:color w:val="auto"/>
          <w:sz w:val="32"/>
          <w:szCs w:val="32"/>
          <w:lang w:eastAsia="zh-CN"/>
        </w:rPr>
        <w:t>等</w:t>
      </w:r>
      <w:r>
        <w:rPr>
          <w:rFonts w:hint="eastAsia" w:eastAsia="方正仿宋_GB2312" w:cs="微软雅黑"/>
          <w:color w:val="auto"/>
          <w:sz w:val="32"/>
          <w:szCs w:val="32"/>
        </w:rPr>
        <w:t>，作为</w:t>
      </w:r>
      <w:r>
        <w:rPr>
          <w:rFonts w:hint="eastAsia" w:eastAsia="方正仿宋_GB2312"/>
          <w:color w:val="auto"/>
          <w:sz w:val="32"/>
          <w:szCs w:val="32"/>
        </w:rPr>
        <w:t>分区分类科学开展生态修复</w:t>
      </w:r>
      <w:r>
        <w:rPr>
          <w:rFonts w:hint="eastAsia" w:eastAsia="方正仿宋_GB2312"/>
          <w:color w:val="auto"/>
          <w:sz w:val="32"/>
          <w:szCs w:val="32"/>
          <w:lang w:eastAsia="zh-CN"/>
        </w:rPr>
        <w:t>、</w:t>
      </w:r>
      <w:r>
        <w:rPr>
          <w:rFonts w:hint="eastAsia" w:eastAsia="方正仿宋_GB2312" w:cs="微软雅黑"/>
          <w:color w:val="auto"/>
          <w:sz w:val="32"/>
          <w:szCs w:val="32"/>
        </w:rPr>
        <w:t>生态监测评价预警的</w:t>
      </w:r>
      <w:r>
        <w:rPr>
          <w:rFonts w:hint="eastAsia" w:eastAsia="方正仿宋_GB2312" w:cs="微软雅黑"/>
          <w:color w:val="auto"/>
          <w:sz w:val="32"/>
          <w:szCs w:val="32"/>
          <w:lang w:eastAsia="zh-CN"/>
        </w:rPr>
        <w:t>基础框架和参考</w:t>
      </w:r>
      <w:r>
        <w:rPr>
          <w:rFonts w:hint="eastAsia" w:eastAsia="方正仿宋_GB2312" w:cs="微软雅黑"/>
          <w:color w:val="auto"/>
          <w:sz w:val="32"/>
          <w:szCs w:val="32"/>
        </w:rPr>
        <w:t>。</w:t>
      </w:r>
      <w:r>
        <w:rPr>
          <w:rFonts w:hint="eastAsia" w:ascii="Times New Roman" w:hAnsi="Times New Roman" w:eastAsia="方正仿宋_GB2312" w:cs="Times New Roman"/>
          <w:color w:val="auto"/>
          <w:kern w:val="2"/>
          <w:sz w:val="32"/>
          <w:szCs w:val="32"/>
          <w:lang w:val="en-US" w:eastAsia="zh-CN" w:bidi="ar-SA"/>
        </w:rPr>
        <w:t>分区成果纳入国土空间规划“一张图”实施监督信息系统。</w:t>
      </w:r>
    </w:p>
    <w:p>
      <w:pPr>
        <w:snapToGrid w:val="0"/>
        <w:spacing w:beforeLines="0" w:line="560" w:lineRule="exact"/>
        <w:ind w:firstLine="640" w:firstLineChars="200"/>
        <w:rPr>
          <w:rFonts w:hint="eastAsia" w:eastAsia="方正仿宋_GB2312" w:cs="方正仿宋_GB2312"/>
          <w:color w:val="auto"/>
          <w:sz w:val="32"/>
          <w:szCs w:val="32"/>
        </w:rPr>
      </w:pPr>
      <w:r>
        <w:rPr>
          <w:rFonts w:hint="eastAsia" w:eastAsia="方正仿宋_GB2312" w:cs="微软雅黑"/>
          <w:color w:val="auto"/>
          <w:sz w:val="32"/>
          <w:szCs w:val="32"/>
        </w:rPr>
        <w:t>4. 空间化与现势性相结合。分区与国家土地利用现状相衔接，分区边界利用空间分析与遥感技术手段，</w:t>
      </w:r>
      <w:r>
        <w:rPr>
          <w:rFonts w:hint="eastAsia" w:eastAsia="方正仿宋_GB2312" w:cs="微软雅黑"/>
          <w:color w:val="auto"/>
          <w:sz w:val="32"/>
          <w:szCs w:val="32"/>
          <w:lang w:val="en-US" w:eastAsia="zh-CN"/>
        </w:rPr>
        <w:t>根据</w:t>
      </w:r>
      <w:r>
        <w:rPr>
          <w:rFonts w:hint="eastAsia" w:eastAsia="方正仿宋_GB2312" w:cs="微软雅黑"/>
          <w:color w:val="auto"/>
          <w:sz w:val="32"/>
          <w:szCs w:val="32"/>
        </w:rPr>
        <w:t>生态综合特征</w:t>
      </w:r>
      <w:r>
        <w:rPr>
          <w:rFonts w:hint="eastAsia" w:eastAsia="方正仿宋_GB2312" w:cs="微软雅黑"/>
          <w:color w:val="auto"/>
          <w:sz w:val="32"/>
          <w:szCs w:val="32"/>
          <w:lang w:val="en-US" w:eastAsia="zh-CN"/>
        </w:rPr>
        <w:t>和</w:t>
      </w:r>
      <w:r>
        <w:rPr>
          <w:rFonts w:hint="eastAsia" w:eastAsia="方正仿宋_GB2312" w:cs="微软雅黑"/>
          <w:color w:val="auto"/>
          <w:sz w:val="32"/>
          <w:szCs w:val="32"/>
        </w:rPr>
        <w:t>地理边界</w:t>
      </w:r>
      <w:r>
        <w:rPr>
          <w:rFonts w:hint="eastAsia" w:eastAsia="方正仿宋_GB2312" w:cs="微软雅黑"/>
          <w:color w:val="auto"/>
          <w:sz w:val="32"/>
          <w:szCs w:val="32"/>
          <w:lang w:val="en-US" w:eastAsia="zh-CN"/>
        </w:rPr>
        <w:t>确定</w:t>
      </w:r>
      <w:r>
        <w:rPr>
          <w:rFonts w:hint="eastAsia" w:eastAsia="方正仿宋_GB2312" w:cs="微软雅黑"/>
          <w:color w:val="auto"/>
          <w:sz w:val="32"/>
          <w:szCs w:val="32"/>
        </w:rPr>
        <w:t>，随着技术水平和监测能力的提高，</w:t>
      </w:r>
      <w:r>
        <w:rPr>
          <w:rFonts w:hint="eastAsia" w:eastAsia="方正仿宋_GB2312" w:cs="微软雅黑"/>
          <w:color w:val="auto"/>
          <w:sz w:val="32"/>
          <w:szCs w:val="32"/>
          <w:lang w:eastAsia="zh-CN"/>
        </w:rPr>
        <w:t>分区</w:t>
      </w:r>
      <w:r>
        <w:rPr>
          <w:rFonts w:hint="eastAsia" w:eastAsia="方正仿宋_GB2312" w:cs="微软雅黑"/>
          <w:color w:val="auto"/>
          <w:sz w:val="32"/>
          <w:szCs w:val="32"/>
        </w:rPr>
        <w:t>边界的确定将</w:t>
      </w:r>
      <w:r>
        <w:rPr>
          <w:rFonts w:hint="eastAsia" w:eastAsia="方正仿宋_GB2312" w:cs="微软雅黑"/>
          <w:color w:val="auto"/>
          <w:sz w:val="32"/>
          <w:szCs w:val="32"/>
          <w:lang w:eastAsia="zh-CN"/>
        </w:rPr>
        <w:t>更加</w:t>
      </w:r>
      <w:r>
        <w:rPr>
          <w:rFonts w:hint="eastAsia" w:eastAsia="方正仿宋_GB2312" w:cs="微软雅黑"/>
          <w:color w:val="auto"/>
          <w:sz w:val="32"/>
          <w:szCs w:val="32"/>
        </w:rPr>
        <w:t>精细化。</w:t>
      </w:r>
    </w:p>
    <w:p>
      <w:pPr>
        <w:pStyle w:val="4"/>
        <w:numPr>
          <w:ilvl w:val="0"/>
          <w:numId w:val="1"/>
        </w:numPr>
        <w:snapToGrid w:val="0"/>
        <w:spacing w:before="156" w:after="156" w:line="560" w:lineRule="exact"/>
        <w:ind w:left="0" w:firstLine="640"/>
        <w:rPr>
          <w:rFonts w:hint="eastAsia"/>
          <w:b w:val="0"/>
          <w:bCs w:val="0"/>
          <w:color w:val="auto"/>
        </w:rPr>
      </w:pPr>
      <w:bookmarkStart w:id="6" w:name="_Toc20369"/>
      <w:bookmarkStart w:id="7" w:name="_Toc12851"/>
      <w:r>
        <w:rPr>
          <w:rFonts w:hint="eastAsia"/>
          <w:b w:val="0"/>
          <w:bCs w:val="0"/>
          <w:color w:val="auto"/>
        </w:rPr>
        <w:t>分区方案</w:t>
      </w:r>
      <w:bookmarkEnd w:id="6"/>
      <w:bookmarkEnd w:id="7"/>
      <w:r>
        <w:rPr>
          <w:rFonts w:hint="eastAsia"/>
          <w:b w:val="0"/>
          <w:bCs w:val="0"/>
          <w:color w:val="auto"/>
        </w:rPr>
        <w:t xml:space="preserve"> </w:t>
      </w:r>
    </w:p>
    <w:p>
      <w:pPr>
        <w:pStyle w:val="2"/>
        <w:snapToGrid w:val="0"/>
        <w:spacing w:line="560" w:lineRule="exact"/>
        <w:ind w:firstLine="640"/>
        <w:outlineLvl w:val="1"/>
        <w:rPr>
          <w:rFonts w:ascii="Times New Roman" w:hAnsi="Times New Roman" w:eastAsia="楷体" w:cs="楷体"/>
          <w:color w:val="auto"/>
          <w:sz w:val="32"/>
          <w:szCs w:val="32"/>
        </w:rPr>
      </w:pPr>
      <w:bookmarkStart w:id="8" w:name="_Toc24862"/>
      <w:bookmarkStart w:id="9" w:name="_Toc22823"/>
      <w:bookmarkStart w:id="10" w:name="_Toc16450"/>
      <w:r>
        <w:rPr>
          <w:rFonts w:hint="eastAsia" w:ascii="Times New Roman" w:hAnsi="Times New Roman" w:eastAsia="楷体" w:cs="楷体"/>
          <w:color w:val="auto"/>
          <w:sz w:val="32"/>
          <w:szCs w:val="32"/>
        </w:rPr>
        <w:t>（一）</w:t>
      </w:r>
      <w:bookmarkEnd w:id="8"/>
      <w:bookmarkEnd w:id="9"/>
      <w:r>
        <w:rPr>
          <w:rFonts w:hint="eastAsia" w:ascii="Times New Roman" w:hAnsi="Times New Roman" w:eastAsia="楷体" w:cs="楷体"/>
          <w:color w:val="auto"/>
          <w:sz w:val="32"/>
          <w:szCs w:val="32"/>
        </w:rPr>
        <w:t>一级生态区</w:t>
      </w:r>
      <w:bookmarkEnd w:id="10"/>
    </w:p>
    <w:p>
      <w:pPr>
        <w:pStyle w:val="2"/>
        <w:snapToGrid w:val="0"/>
        <w:spacing w:after="156" w:afterLines="50" w:line="560" w:lineRule="exact"/>
        <w:ind w:firstLine="640"/>
        <w:rPr>
          <w:rFonts w:hint="eastAsia" w:ascii="Times New Roman" w:hAnsi="Times New Roman" w:eastAsia="方正仿宋_GB2312" w:cs="方正仿宋_GB2312"/>
          <w:color w:val="auto"/>
          <w:sz w:val="32"/>
          <w:szCs w:val="32"/>
        </w:rPr>
      </w:pPr>
      <w:bookmarkStart w:id="11" w:name="_Toc20962"/>
      <w:r>
        <w:rPr>
          <w:rFonts w:hint="eastAsia" w:ascii="Times New Roman" w:hAnsi="Times New Roman" w:eastAsia="方正仿宋_GB2312"/>
          <w:color w:val="auto"/>
          <w:sz w:val="32"/>
          <w:szCs w:val="32"/>
        </w:rPr>
        <w:t>一级生态区共6个</w:t>
      </w:r>
      <w:r>
        <w:rPr>
          <w:rFonts w:hint="eastAsia" w:ascii="Times New Roman" w:hAnsi="Times New Roman" w:eastAsia="方正仿宋_GB2312"/>
          <w:color w:val="auto"/>
          <w:sz w:val="32"/>
          <w:szCs w:val="32"/>
          <w:lang w:eastAsia="zh-CN"/>
        </w:rPr>
        <w:t>（图</w:t>
      </w:r>
      <w:r>
        <w:rPr>
          <w:rFonts w:hint="eastAsia" w:ascii="Times New Roman" w:hAnsi="Times New Roman" w:eastAsia="方正仿宋_GB2312"/>
          <w:color w:val="auto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方正仿宋_GB2312"/>
          <w:color w:val="auto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方正仿宋_GB2312"/>
          <w:color w:val="auto"/>
          <w:sz w:val="32"/>
          <w:szCs w:val="32"/>
        </w:rPr>
        <w:t>，</w:t>
      </w:r>
      <w:r>
        <w:rPr>
          <w:rFonts w:hint="eastAsia" w:ascii="Times New Roman" w:hAnsi="Times New Roman" w:eastAsia="方正仿宋_GB2312" w:cs="方正仿宋_GB2312"/>
          <w:color w:val="auto"/>
          <w:sz w:val="32"/>
          <w:szCs w:val="32"/>
        </w:rPr>
        <w:t>旨在为国家</w:t>
      </w:r>
      <w:r>
        <w:rPr>
          <w:rFonts w:hint="eastAsia" w:ascii="Times New Roman" w:hAnsi="Times New Roman" w:eastAsia="方正仿宋_GB2312" w:cs="方正仿宋_GB2312"/>
          <w:color w:val="auto"/>
          <w:sz w:val="32"/>
          <w:szCs w:val="32"/>
          <w:lang w:val="en-US" w:eastAsia="zh-CN"/>
        </w:rPr>
        <w:t>宏观尺度</w:t>
      </w:r>
      <w:r>
        <w:rPr>
          <w:rFonts w:hint="eastAsia" w:ascii="Times New Roman" w:hAnsi="Times New Roman" w:eastAsia="方正仿宋_GB2312" w:cs="方正仿宋_GB2312"/>
          <w:color w:val="auto"/>
          <w:sz w:val="32"/>
          <w:szCs w:val="32"/>
        </w:rPr>
        <w:t>生态安全风险评估提供基础框架，划分依据主要考虑季风气候影响程度及温度水分差异、现代地势轮廓及大地构造格局、生态系统景观差异，并与“三区</w:t>
      </w:r>
      <w:r>
        <w:rPr>
          <w:rFonts w:hint="default" w:ascii="Times New Roman" w:hAnsi="Times New Roman" w:eastAsia="方正仿宋_GB2312" w:cs="方正仿宋_GB2312"/>
          <w:color w:val="000000"/>
          <w:sz w:val="32"/>
          <w:szCs w:val="32"/>
        </w:rPr>
        <w:t>四带</w:t>
      </w:r>
      <w:r>
        <w:rPr>
          <w:rFonts w:hint="eastAsia" w:ascii="Times New Roman" w:hAnsi="Times New Roman" w:eastAsia="方正仿宋_GB2312" w:cs="方正仿宋_GB2312"/>
          <w:color w:val="auto"/>
          <w:sz w:val="32"/>
          <w:szCs w:val="32"/>
        </w:rPr>
        <w:t>”国家生态安全</w:t>
      </w:r>
      <w:r>
        <w:rPr>
          <w:rFonts w:hint="eastAsia" w:ascii="Times New Roman" w:hAnsi="Times New Roman" w:eastAsia="方正仿宋_GB2312" w:cs="方正仿宋_GB2312"/>
          <w:color w:val="auto"/>
          <w:sz w:val="32"/>
          <w:szCs w:val="32"/>
          <w:lang w:eastAsia="zh-CN"/>
        </w:rPr>
        <w:t>屏障自然格局</w:t>
      </w:r>
      <w:r>
        <w:rPr>
          <w:rFonts w:hint="eastAsia" w:ascii="Times New Roman" w:hAnsi="Times New Roman" w:eastAsia="方正仿宋_GB2312" w:cs="方正仿宋_GB2312"/>
          <w:color w:val="auto"/>
          <w:sz w:val="32"/>
          <w:szCs w:val="32"/>
        </w:rPr>
        <w:t>相衔接。分区命名方式为大地理位置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+</w:t>
      </w:r>
      <w:r>
        <w:rPr>
          <w:rFonts w:hint="eastAsia" w:ascii="Times New Roman" w:hAnsi="Times New Roman" w:eastAsia="方正仿宋_GB2312" w:cs="方正仿宋_GB2312"/>
          <w:color w:val="auto"/>
          <w:sz w:val="32"/>
          <w:szCs w:val="32"/>
        </w:rPr>
        <w:t>生态区，分为东北生态区、黄河重点生态区、长江及川滇重点生态区、东南生态区、青藏高原生态区</w:t>
      </w:r>
      <w:r>
        <w:rPr>
          <w:rFonts w:hint="eastAsia" w:ascii="Times New Roman" w:hAnsi="Times New Roman" w:eastAsia="方正仿宋_GB2312" w:cs="方正仿宋_GB2312"/>
          <w:color w:val="auto"/>
          <w:sz w:val="32"/>
          <w:szCs w:val="32"/>
          <w:lang w:val="en-US" w:eastAsia="zh-CN"/>
        </w:rPr>
        <w:t>、</w:t>
      </w:r>
      <w:r>
        <w:rPr>
          <w:rFonts w:hint="eastAsia" w:ascii="Times New Roman" w:hAnsi="Times New Roman" w:eastAsia="方正仿宋_GB2312" w:cs="方正仿宋_GB2312"/>
          <w:color w:val="auto"/>
          <w:sz w:val="32"/>
          <w:szCs w:val="32"/>
        </w:rPr>
        <w:t>西北生态区。</w:t>
      </w:r>
    </w:p>
    <w:tbl>
      <w:tblPr>
        <w:tblStyle w:val="18"/>
        <w:tblW w:w="8848" w:type="dxa"/>
        <w:tblInd w:w="-23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5"/>
        <w:gridCol w:w="973"/>
        <w:gridCol w:w="69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925" w:type="dxa"/>
            <w:noWrap w:val="0"/>
            <w:vAlign w:val="top"/>
          </w:tcPr>
          <w:p>
            <w:pPr>
              <w:pStyle w:val="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2312" w:cs="方正仿宋_GB2312"/>
                <w:b/>
                <w:bCs/>
                <w:color w:val="auto"/>
                <w:sz w:val="21"/>
                <w:szCs w:val="21"/>
              </w:rPr>
              <w:t>一级区编号</w:t>
            </w:r>
          </w:p>
        </w:tc>
        <w:tc>
          <w:tcPr>
            <w:tcW w:w="973" w:type="dxa"/>
            <w:noWrap w:val="0"/>
            <w:vAlign w:val="center"/>
          </w:tcPr>
          <w:p>
            <w:pPr>
              <w:pStyle w:val="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方正仿宋_GB2312" w:cs="方正仿宋_GB2312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2312" w:cs="方正仿宋_GB2312"/>
                <w:b/>
                <w:bCs/>
                <w:color w:val="auto"/>
                <w:sz w:val="21"/>
                <w:szCs w:val="21"/>
              </w:rPr>
              <w:t>一级区</w:t>
            </w:r>
          </w:p>
          <w:p>
            <w:pPr>
              <w:pStyle w:val="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2312" w:cs="方正仿宋_GB2312"/>
                <w:b/>
                <w:bCs/>
                <w:color w:val="auto"/>
                <w:sz w:val="21"/>
                <w:szCs w:val="21"/>
              </w:rPr>
              <w:t>名称</w:t>
            </w:r>
          </w:p>
        </w:tc>
        <w:tc>
          <w:tcPr>
            <w:tcW w:w="6950" w:type="dxa"/>
            <w:noWrap w:val="0"/>
            <w:vAlign w:val="center"/>
          </w:tcPr>
          <w:p>
            <w:pPr>
              <w:pStyle w:val="2"/>
              <w:ind w:firstLine="0" w:firstLineChars="0"/>
              <w:jc w:val="center"/>
              <w:rPr>
                <w:rFonts w:ascii="Times New Roman" w:hAnsi="Times New Roman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2312" w:cs="方正仿宋_GB2312"/>
                <w:b/>
                <w:bCs/>
                <w:color w:val="auto"/>
                <w:sz w:val="21"/>
                <w:szCs w:val="21"/>
              </w:rPr>
              <w:t>一级区基本特征与</w:t>
            </w:r>
            <w:r>
              <w:rPr>
                <w:rFonts w:hint="eastAsia" w:ascii="Times New Roman" w:hAnsi="Times New Roman" w:eastAsia="方正仿宋_GB2312" w:cs="方正仿宋_GB2312"/>
                <w:b/>
                <w:bCs/>
                <w:color w:val="auto"/>
                <w:kern w:val="2"/>
                <w:sz w:val="21"/>
                <w:szCs w:val="21"/>
                <w:lang w:bidi="ar"/>
              </w:rPr>
              <w:t>主要保护修复方向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8" w:hRule="atLeast"/>
        </w:trPr>
        <w:tc>
          <w:tcPr>
            <w:tcW w:w="925" w:type="dxa"/>
            <w:noWrap w:val="0"/>
            <w:vAlign w:val="center"/>
          </w:tcPr>
          <w:p>
            <w:pPr>
              <w:pStyle w:val="2"/>
              <w:ind w:firstLine="0" w:firstLineChars="0"/>
              <w:jc w:val="center"/>
              <w:rPr>
                <w:rFonts w:ascii="Times New Roman" w:hAnsi="Times New Roman" w:eastAsia="方正仿宋_GB2312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方正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973" w:type="dxa"/>
            <w:noWrap w:val="0"/>
            <w:vAlign w:val="center"/>
          </w:tcPr>
          <w:p>
            <w:pPr>
              <w:pStyle w:val="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东北</w:t>
            </w:r>
          </w:p>
          <w:p>
            <w:pPr>
              <w:pStyle w:val="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生态区</w:t>
            </w:r>
          </w:p>
        </w:tc>
        <w:tc>
          <w:tcPr>
            <w:tcW w:w="6950" w:type="dxa"/>
            <w:noWrap w:val="0"/>
            <w:vAlign w:val="top"/>
          </w:tcPr>
          <w:p>
            <w:pPr>
              <w:pStyle w:val="2"/>
              <w:snapToGrid w:val="0"/>
              <w:spacing w:before="40" w:after="40" w:line="300" w:lineRule="exact"/>
              <w:ind w:firstLine="0" w:firstLineChars="0"/>
              <w:jc w:val="left"/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属湿润半湿润季风气候，位于天山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兴蒙造山系东段，主要由山地、丘陵和平原等地貌类型构成。区内自然生态系统占比63%，自然植被类型以针阔混交林、针叶林为主。本区生态问题主要为森林带屏障功能需要提升，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  <w:lang w:val="en-US" w:eastAsia="zh-CN"/>
              </w:rPr>
              <w:t>长期受高强度采伐利用或自然灾害形成的次生林结构不合理、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稳定性较弱，冻土区沼泽湿地退化较严重，黑土区水土流失面积占黑土地总面积19.86%、土层变瘠薄，土地沙化面积约4万平方千米，存在矿产资源开采破坏生态系统等问题。本区着眼于森林、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  <w:lang w:eastAsia="zh-CN"/>
              </w:rPr>
              <w:t>草原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、湿地等生态系统保护和修复，以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  <w:lang w:eastAsia="zh-CN"/>
              </w:rPr>
              <w:t>区域内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国家重点生态功能区为重点，加强森林生态系统保护修复、水土流失治理、矿山生态修复、土地综合整治，促进区域生态系统良性循环和生物多样性恢复，保护黑土地，保障国家粮食安全，筑牢我国东北生态安全屏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01" w:hRule="atLeast"/>
        </w:trPr>
        <w:tc>
          <w:tcPr>
            <w:tcW w:w="925" w:type="dxa"/>
            <w:noWrap w:val="0"/>
            <w:vAlign w:val="center"/>
          </w:tcPr>
          <w:p>
            <w:pPr>
              <w:pStyle w:val="2"/>
              <w:ind w:firstLine="0" w:firstLineChars="0"/>
              <w:jc w:val="center"/>
              <w:rPr>
                <w:rFonts w:hint="eastAsia" w:ascii="Times New Roman" w:hAnsi="Times New Roman" w:eastAsia="方正仿宋_GB2312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2312"/>
                <w:color w:val="auto"/>
                <w:sz w:val="21"/>
                <w:szCs w:val="21"/>
              </w:rPr>
              <w:t>2</w:t>
            </w:r>
          </w:p>
        </w:tc>
        <w:tc>
          <w:tcPr>
            <w:tcW w:w="973" w:type="dxa"/>
            <w:noWrap w:val="0"/>
            <w:vAlign w:val="center"/>
          </w:tcPr>
          <w:p>
            <w:pPr>
              <w:pStyle w:val="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黄河</w:t>
            </w:r>
          </w:p>
          <w:p>
            <w:pPr>
              <w:pStyle w:val="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重点</w:t>
            </w:r>
          </w:p>
          <w:p>
            <w:pPr>
              <w:pStyle w:val="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生态区</w:t>
            </w:r>
            <w:r>
              <w:rPr>
                <w:rStyle w:val="23"/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footnoteReference w:id="0"/>
            </w:r>
          </w:p>
        </w:tc>
        <w:tc>
          <w:tcPr>
            <w:tcW w:w="6950" w:type="dxa"/>
            <w:noWrap w:val="0"/>
            <w:vAlign w:val="center"/>
          </w:tcPr>
          <w:p>
            <w:pPr>
              <w:pStyle w:val="2"/>
              <w:snapToGrid w:val="0"/>
              <w:spacing w:before="0" w:after="0" w:line="300" w:lineRule="exact"/>
              <w:ind w:firstLine="0" w:firstLineChars="0"/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属干旱半干旱大陆性和湿润半湿润季风气候，位于华北陆块区，主要由山地、丘陵和平原等地貌类型构成，黄土和第四系冲洪积物广泛分布，生态基质不稳定。本区自然生态系统现状占比为51%，自然植被类型以阔叶林和草原为主。区内生态本底脆弱、水资源短缺、水源涵养能力低，生态系统不稳定，土地沙化程度较严重，水土流失问题突出、黄土高原水土流失面积约23万平方千米，下游生态流量偏低、一些地方河口湿地萎缩，矿山开采对生态系统破坏程度高、治理难度大。本区着眼于山水林田湖草</w:t>
            </w:r>
            <w:r>
              <w:rPr>
                <w:rFonts w:hint="default" w:ascii="Times New Roman" w:hAnsi="Times New Roman" w:eastAsia="方正仿宋_GB2312" w:cs="方正仿宋_GB2312"/>
                <w:color w:val="000000"/>
                <w:sz w:val="21"/>
                <w:szCs w:val="21"/>
              </w:rPr>
              <w:t>沙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一体化保护和修复，以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  <w:lang w:eastAsia="zh-CN"/>
              </w:rPr>
              <w:t>区域内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国家重点生态功能区为重点，提升水土保持和防风固沙能力，维护生物多样性，提高生态系统质量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  <w:lang w:val="en-US" w:eastAsia="zh-CN"/>
              </w:rPr>
              <w:t>和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稳定性。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6" w:hRule="atLeast"/>
        </w:trPr>
        <w:tc>
          <w:tcPr>
            <w:tcW w:w="925" w:type="dxa"/>
            <w:noWrap w:val="0"/>
            <w:vAlign w:val="center"/>
          </w:tcPr>
          <w:p>
            <w:pPr>
              <w:pStyle w:val="2"/>
              <w:ind w:firstLine="0" w:firstLineChars="0"/>
              <w:jc w:val="center"/>
              <w:rPr>
                <w:rFonts w:hint="eastAsia" w:ascii="Times New Roman" w:hAnsi="Times New Roman" w:eastAsia="方正仿宋_GB2312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2312"/>
                <w:color w:val="auto"/>
                <w:sz w:val="21"/>
                <w:szCs w:val="21"/>
              </w:rPr>
              <w:t>3</w:t>
            </w:r>
          </w:p>
        </w:tc>
        <w:tc>
          <w:tcPr>
            <w:tcW w:w="973" w:type="dxa"/>
            <w:noWrap w:val="0"/>
            <w:vAlign w:val="center"/>
          </w:tcPr>
          <w:p>
            <w:pPr>
              <w:pStyle w:val="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长江及</w:t>
            </w:r>
          </w:p>
          <w:p>
            <w:pPr>
              <w:pStyle w:val="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川滇</w:t>
            </w:r>
          </w:p>
          <w:p>
            <w:pPr>
              <w:pStyle w:val="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重点</w:t>
            </w:r>
          </w:p>
          <w:p>
            <w:pPr>
              <w:pStyle w:val="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生态区</w:t>
            </w:r>
          </w:p>
        </w:tc>
        <w:tc>
          <w:tcPr>
            <w:tcW w:w="6950" w:type="dxa"/>
            <w:noWrap w:val="0"/>
            <w:vAlign w:val="center"/>
          </w:tcPr>
          <w:p>
            <w:pPr>
              <w:pStyle w:val="2"/>
              <w:snapToGrid w:val="0"/>
              <w:spacing w:before="0" w:after="0" w:line="300" w:lineRule="exact"/>
              <w:ind w:firstLine="0" w:firstLineChars="0"/>
              <w:rPr>
                <w:rFonts w:ascii="Times New Roman" w:hAnsi="Times New Roman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仿宋_GB2312" w:cs="方正仿宋_GB2312"/>
                <w:color w:val="000000"/>
                <w:sz w:val="21"/>
                <w:szCs w:val="21"/>
              </w:rPr>
              <w:t>属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东部湿润季风气候，主体位于扬子陆块区，主要由山地、丘陵和平原等地貌类型构成，岩溶地貌广泛分布。本区森林生态系统现状占比57%，自然植被类型以阔叶林为主。区内生态问题主要为水源涵养能力降低、生物多样性减少和生态系统退化，长江中下游湖泊湿地退化，水土流失问题较严重，石漠化土地面积近10万平方千米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  <w:lang w:val="en-US" w:eastAsia="zh-CN"/>
              </w:rPr>
              <w:t>矿山开发对生态破坏较严重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。本区着眼于提升长江生态系统质量和稳定性，以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  <w:lang w:eastAsia="zh-CN"/>
              </w:rPr>
              <w:t>区域内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国家重点生态功能区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  <w:lang w:eastAsia="zh-CN"/>
              </w:rPr>
              <w:t>为重点，巩固和增强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水源涵养、生物多样性维护、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  <w:lang w:eastAsia="zh-CN"/>
              </w:rPr>
              <w:t>水土保持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等功能，推动森林、河湖、湿地生态系统自然恢复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  <w:lang w:eastAsia="zh-CN"/>
              </w:rPr>
              <w:t>、水土流失与石漠化综合治理、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土地综合整治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  <w:lang w:val="en-US" w:eastAsia="zh-CN"/>
              </w:rPr>
              <w:t>和矿山生态修复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，着力提高生态系统自我修复能力，切实增强生态系统稳定性，巩固提升生态系统碳汇能力，显著提升生态系统功能。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8" w:hRule="atLeast"/>
        </w:trPr>
        <w:tc>
          <w:tcPr>
            <w:tcW w:w="925" w:type="dxa"/>
            <w:noWrap w:val="0"/>
            <w:vAlign w:val="center"/>
          </w:tcPr>
          <w:p>
            <w:pPr>
              <w:pStyle w:val="2"/>
              <w:ind w:firstLine="0" w:firstLineChars="0"/>
              <w:jc w:val="center"/>
              <w:rPr>
                <w:rFonts w:hint="eastAsia" w:ascii="Times New Roman" w:hAnsi="Times New Roman" w:eastAsia="方正仿宋_GB2312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2312"/>
                <w:color w:val="auto"/>
                <w:sz w:val="21"/>
                <w:szCs w:val="21"/>
              </w:rPr>
              <w:t>4</w:t>
            </w:r>
          </w:p>
        </w:tc>
        <w:tc>
          <w:tcPr>
            <w:tcW w:w="973" w:type="dxa"/>
            <w:noWrap w:val="0"/>
            <w:vAlign w:val="center"/>
          </w:tcPr>
          <w:p>
            <w:pPr>
              <w:pStyle w:val="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东南</w:t>
            </w:r>
          </w:p>
          <w:p>
            <w:pPr>
              <w:pStyle w:val="2"/>
              <w:spacing w:line="240" w:lineRule="auto"/>
              <w:ind w:firstLine="0" w:firstLineChars="0"/>
              <w:jc w:val="center"/>
              <w:rPr>
                <w:rFonts w:ascii="Times New Roman" w:hAnsi="Times New Roman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生态区</w:t>
            </w:r>
          </w:p>
        </w:tc>
        <w:tc>
          <w:tcPr>
            <w:tcW w:w="6950" w:type="dxa"/>
            <w:noWrap w:val="0"/>
            <w:vAlign w:val="center"/>
          </w:tcPr>
          <w:p>
            <w:pPr>
              <w:pStyle w:val="2"/>
              <w:snapToGrid w:val="0"/>
              <w:spacing w:before="0" w:after="0" w:line="300" w:lineRule="exact"/>
              <w:ind w:firstLine="0" w:firstLineChars="0"/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仿宋_GB2312" w:cs="方正仿宋_GB2312"/>
                <w:color w:val="000000"/>
                <w:sz w:val="21"/>
                <w:szCs w:val="21"/>
              </w:rPr>
              <w:t>属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东部湿润季风气候，位于武夷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云开造山系，主要由山地和丘陵地貌类型构成。本区森林生态系统占比65%，自然植被类型以阔叶林为主。本区生态保护修复空间与利用空间矛盾较为突出，生物多样性受威胁状况突出，森林生态系统质量和稳定性不足，人工林占比接近50%，红壤区水土流失问题突出，矿山开采对山体和植被破坏较为严重。本区着眼于森林、湿地、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  <w:lang w:eastAsia="zh-CN"/>
              </w:rPr>
              <w:t>草原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等生态系统保护和修复，以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  <w:lang w:eastAsia="zh-CN"/>
              </w:rPr>
              <w:t>区域内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国家重点生态功能区为重点，推进山系、流域为单元的综合治理，加强水土流失综合治理、矿山生态修复、土地综合整治，提高自然生态系统质量和生态承载力。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8" w:hRule="atLeast"/>
        </w:trPr>
        <w:tc>
          <w:tcPr>
            <w:tcW w:w="925" w:type="dxa"/>
            <w:noWrap w:val="0"/>
            <w:vAlign w:val="center"/>
          </w:tcPr>
          <w:p>
            <w:pPr>
              <w:pStyle w:val="2"/>
              <w:ind w:firstLine="0" w:firstLineChars="0"/>
              <w:jc w:val="center"/>
              <w:rPr>
                <w:rFonts w:hint="eastAsia" w:ascii="Times New Roman" w:hAnsi="Times New Roman" w:eastAsia="方正仿宋_GB2312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2312"/>
                <w:color w:val="auto"/>
                <w:sz w:val="21"/>
                <w:szCs w:val="21"/>
              </w:rPr>
              <w:t>5</w:t>
            </w:r>
          </w:p>
        </w:tc>
        <w:tc>
          <w:tcPr>
            <w:tcW w:w="973" w:type="dxa"/>
            <w:noWrap w:val="0"/>
            <w:vAlign w:val="center"/>
          </w:tcPr>
          <w:p>
            <w:pPr>
              <w:pStyle w:val="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青藏</w:t>
            </w:r>
          </w:p>
          <w:p>
            <w:pPr>
              <w:pStyle w:val="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高原</w:t>
            </w:r>
          </w:p>
          <w:p>
            <w:pPr>
              <w:pStyle w:val="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生态区</w:t>
            </w:r>
          </w:p>
        </w:tc>
        <w:tc>
          <w:tcPr>
            <w:tcW w:w="6950" w:type="dxa"/>
            <w:noWrap w:val="0"/>
            <w:vAlign w:val="center"/>
          </w:tcPr>
          <w:p>
            <w:pPr>
              <w:pStyle w:val="2"/>
              <w:snapToGrid w:val="0"/>
              <w:spacing w:before="0" w:after="0" w:line="300" w:lineRule="exact"/>
              <w:ind w:firstLine="0" w:firstLineChars="0"/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属高原高寒气候，位于西藏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三江造山系和秦祁昆造山系，主要由山地和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  <w:lang w:val="en-US" w:eastAsia="zh-CN"/>
              </w:rPr>
              <w:t>高原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等地貌类型构成，冰川和多年冻土广泛发育。本区自然生态系统现状占比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  <w:lang w:val="en-US" w:eastAsia="zh-CN"/>
              </w:rPr>
              <w:t>约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为99%，自然植被类型以高寒草原、草甸为主。受气候变化与人为因素双重驱动下造成的生态风险加剧，40年来多年冻土区活动层厚度呈显著增加趋势，沙化土地面积约44万平方千米，局部地区矿山开发造成生态系统破坏。本区着眼于青藏高原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  <w:lang w:eastAsia="zh-CN"/>
              </w:rPr>
              <w:t>草原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、森林、湿地、荒漠等生态系统保护和修复，以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  <w:lang w:eastAsia="zh-CN"/>
              </w:rPr>
              <w:t>区域内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国家重点生态功能区为重点，加强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  <w:lang w:eastAsia="zh-CN"/>
              </w:rPr>
              <w:t>草原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黑土滩化和沙化综合治理、矿山生态修复，加大冰川雪山、水源涵养林封禁保护，加强冰川、雪线、冻土动态监测，提高生态系统自我修复能力，增强生态系统稳定性，显著提升青藏高原生态屏障生态服务功能。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1" w:hRule="atLeast"/>
        </w:trPr>
        <w:tc>
          <w:tcPr>
            <w:tcW w:w="925" w:type="dxa"/>
            <w:noWrap w:val="0"/>
            <w:vAlign w:val="center"/>
          </w:tcPr>
          <w:p>
            <w:pPr>
              <w:pStyle w:val="2"/>
              <w:ind w:firstLine="0" w:firstLineChars="0"/>
              <w:jc w:val="center"/>
              <w:rPr>
                <w:rFonts w:hint="eastAsia" w:ascii="Times New Roman" w:hAnsi="Times New Roman" w:eastAsia="方正仿宋_GB2312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2312"/>
                <w:color w:val="auto"/>
                <w:sz w:val="21"/>
                <w:szCs w:val="21"/>
              </w:rPr>
              <w:t>6</w:t>
            </w:r>
          </w:p>
        </w:tc>
        <w:tc>
          <w:tcPr>
            <w:tcW w:w="973" w:type="dxa"/>
            <w:noWrap w:val="0"/>
            <w:vAlign w:val="center"/>
          </w:tcPr>
          <w:p>
            <w:pPr>
              <w:pStyle w:val="2"/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西北</w:t>
            </w:r>
          </w:p>
          <w:p>
            <w:pPr>
              <w:pStyle w:val="2"/>
              <w:spacing w:line="240" w:lineRule="auto"/>
              <w:ind w:firstLine="0" w:firstLineChars="0"/>
              <w:jc w:val="center"/>
              <w:rPr>
                <w:rFonts w:ascii="Times New Roman" w:hAnsi="Times New Roman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生态区</w:t>
            </w:r>
          </w:p>
        </w:tc>
        <w:tc>
          <w:tcPr>
            <w:tcW w:w="6950" w:type="dxa"/>
            <w:noWrap w:val="0"/>
            <w:vAlign w:val="center"/>
          </w:tcPr>
          <w:p>
            <w:pPr>
              <w:pStyle w:val="2"/>
              <w:snapToGrid w:val="0"/>
              <w:spacing w:before="0" w:after="0" w:line="300" w:lineRule="exact"/>
              <w:ind w:firstLine="0" w:firstLineChars="0"/>
              <w:jc w:val="left"/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属干旱半干旱大陆性气候，位于天山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兴蒙造山系西段和塔里木陆块区，主要由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  <w:lang w:eastAsia="zh-CN"/>
              </w:rPr>
              <w:t>高原、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山地和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  <w:lang w:eastAsia="zh-CN"/>
              </w:rPr>
              <w:t>盆地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等地貌类型构成，第四系风积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  <w:lang w:eastAsia="zh-CN"/>
              </w:rPr>
              <w:t>物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、冲洪积物等松散堆积物广泛分布，生态基质不稳定。本区自然生态系统占比为93%，自然植被呈地带性分布，由东至西依次为森林、草原和荒漠。区内生态系统敏感脆弱，草原退化、土地沙化面积广阔，沙化土地面积约116万平方千米、占全国沙化土地总面积68%，部分河流断流、湖泊湿地萎缩甚至干涸，矿产资源开采对生态系统破坏较突出。本区着眼于山水林田湖草</w:t>
            </w:r>
            <w:r>
              <w:rPr>
                <w:rFonts w:hint="default" w:ascii="Times New Roman" w:hAnsi="Times New Roman" w:eastAsia="方正仿宋_GB2312" w:cs="方正仿宋_GB2312"/>
                <w:color w:val="000000"/>
                <w:sz w:val="21"/>
                <w:szCs w:val="21"/>
              </w:rPr>
              <w:t>沙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一体化保护和系统治理，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  <w:lang w:eastAsia="zh-CN"/>
              </w:rPr>
              <w:t>以区域内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  <w:lang w:val="en-US" w:eastAsia="zh-CN"/>
              </w:rPr>
              <w:t>国家重点生态功能区为重点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，加强土地沙化和荒漠化防治，统筹开展退化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  <w:lang w:eastAsia="zh-CN"/>
              </w:rPr>
              <w:t>草原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修复、河湖湿地修复、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  <w:lang w:eastAsia="zh-CN"/>
              </w:rPr>
              <w:t>荒漠化防治、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  <w:t>水土流失综合治理、矿山生态修复和土地综合整治，提高生态系统质量和稳定性，筑牢我国北方生态安全屏障。</w:t>
            </w:r>
          </w:p>
        </w:tc>
      </w:tr>
    </w:tbl>
    <w:p>
      <w:pPr>
        <w:pStyle w:val="2"/>
        <w:ind w:firstLine="0" w:firstLineChars="0"/>
        <w:jc w:val="center"/>
        <w:rPr>
          <w:rFonts w:hint="eastAsia" w:ascii="Times New Roman" w:hAnsi="Times New Roman" w:eastAsia="方正仿宋_GB2312"/>
          <w:color w:val="auto"/>
          <w:sz w:val="28"/>
          <w:szCs w:val="28"/>
        </w:rPr>
      </w:pPr>
    </w:p>
    <w:p>
      <w:pPr>
        <w:pStyle w:val="2"/>
        <w:snapToGrid w:val="0"/>
        <w:spacing w:line="560" w:lineRule="exact"/>
        <w:ind w:firstLine="640"/>
        <w:outlineLvl w:val="1"/>
        <w:rPr>
          <w:rFonts w:hint="eastAsia" w:ascii="Times New Roman" w:hAnsi="Times New Roman" w:eastAsia="楷体" w:cs="楷体"/>
          <w:color w:val="auto"/>
          <w:sz w:val="32"/>
          <w:szCs w:val="32"/>
        </w:rPr>
      </w:pPr>
      <w:bookmarkStart w:id="12" w:name="_Toc23185"/>
      <w:bookmarkStart w:id="13" w:name="_Toc9424"/>
      <w:r>
        <w:rPr>
          <w:rFonts w:hint="eastAsia" w:ascii="Times New Roman" w:hAnsi="Times New Roman" w:eastAsia="楷体" w:cs="楷体"/>
          <w:color w:val="auto"/>
          <w:sz w:val="32"/>
          <w:szCs w:val="32"/>
        </w:rPr>
        <w:t>（二）二级生态区</w:t>
      </w:r>
      <w:bookmarkEnd w:id="12"/>
    </w:p>
    <w:p>
      <w:pPr>
        <w:pStyle w:val="2"/>
        <w:snapToGrid w:val="0"/>
        <w:spacing w:after="156" w:afterLines="50" w:line="560" w:lineRule="exact"/>
        <w:ind w:firstLine="640"/>
        <w:rPr>
          <w:rFonts w:hint="eastAsia" w:ascii="Times New Roman" w:hAnsi="Times New Roman" w:eastAsia="方正仿宋_GB2312"/>
          <w:color w:val="auto"/>
          <w:sz w:val="32"/>
          <w:szCs w:val="32"/>
        </w:rPr>
      </w:pPr>
      <w:r>
        <w:rPr>
          <w:rFonts w:hint="eastAsia" w:ascii="Times New Roman" w:hAnsi="Times New Roman" w:eastAsia="方正仿宋_GB2312"/>
          <w:color w:val="auto"/>
          <w:sz w:val="32"/>
          <w:szCs w:val="32"/>
        </w:rPr>
        <w:t>二级生态区</w:t>
      </w:r>
      <w:r>
        <w:rPr>
          <w:rFonts w:ascii="Times New Roman" w:hAnsi="Times New Roman" w:eastAsia="方正仿宋_GB2312"/>
          <w:color w:val="auto"/>
          <w:sz w:val="32"/>
          <w:szCs w:val="32"/>
        </w:rPr>
        <w:t>4</w:t>
      </w:r>
      <w:r>
        <w:rPr>
          <w:rFonts w:hint="eastAsia" w:ascii="Times New Roman" w:hAnsi="Times New Roman" w:eastAsia="方正仿宋_GB2312"/>
          <w:color w:val="auto"/>
          <w:sz w:val="32"/>
          <w:szCs w:val="32"/>
        </w:rPr>
        <w:t>7</w:t>
      </w:r>
      <w:r>
        <w:rPr>
          <w:rFonts w:ascii="Times New Roman" w:hAnsi="Times New Roman" w:eastAsia="方正仿宋_GB2312"/>
          <w:color w:val="auto"/>
          <w:sz w:val="32"/>
          <w:szCs w:val="32"/>
        </w:rPr>
        <w:t>个</w:t>
      </w:r>
      <w:r>
        <w:rPr>
          <w:rFonts w:hint="eastAsia" w:ascii="Times New Roman" w:hAnsi="Times New Roman" w:eastAsia="方正仿宋_GB2312"/>
          <w:color w:val="auto"/>
          <w:sz w:val="32"/>
          <w:szCs w:val="32"/>
          <w:lang w:eastAsia="zh-CN"/>
        </w:rPr>
        <w:t>（图</w:t>
      </w:r>
      <w:r>
        <w:rPr>
          <w:rFonts w:hint="eastAsia" w:ascii="Times New Roman" w:hAnsi="Times New Roman" w:eastAsia="方正仿宋_GB2312"/>
          <w:color w:val="auto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方正仿宋_GB2312"/>
          <w:color w:val="auto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方正仿宋_GB2312"/>
          <w:color w:val="auto"/>
          <w:sz w:val="32"/>
          <w:szCs w:val="32"/>
        </w:rPr>
        <w:t>，是一级生态区的进一步划分，主要面向区域景观尺度生态问题与风险监测评价，以及生态结构、格局、质量、功能</w:t>
      </w:r>
      <w:r>
        <w:rPr>
          <w:rFonts w:hint="eastAsia" w:ascii="Times New Roman" w:hAnsi="Times New Roman" w:eastAsia="方正仿宋_GB2312"/>
          <w:color w:val="auto"/>
          <w:sz w:val="32"/>
          <w:szCs w:val="32"/>
          <w:lang w:eastAsia="zh-CN"/>
        </w:rPr>
        <w:t>等</w:t>
      </w:r>
      <w:r>
        <w:rPr>
          <w:rFonts w:hint="eastAsia" w:ascii="Times New Roman" w:hAnsi="Times New Roman" w:eastAsia="方正仿宋_GB2312"/>
          <w:color w:val="auto"/>
          <w:sz w:val="32"/>
          <w:szCs w:val="32"/>
        </w:rPr>
        <w:t>方面的生态修复成效评价。划分依据主要</w:t>
      </w:r>
      <w:r>
        <w:rPr>
          <w:rFonts w:hint="default" w:ascii="Times New Roman" w:hAnsi="Times New Roman" w:eastAsia="方正仿宋_GB2312"/>
          <w:color w:val="auto"/>
          <w:sz w:val="32"/>
          <w:szCs w:val="32"/>
          <w:lang w:val="en-US"/>
        </w:rPr>
        <w:t>考虑</w:t>
      </w:r>
      <w:r>
        <w:rPr>
          <w:rFonts w:hint="eastAsia" w:ascii="Times New Roman" w:hAnsi="Times New Roman" w:eastAsia="方正仿宋_GB2312"/>
          <w:color w:val="auto"/>
          <w:sz w:val="32"/>
          <w:szCs w:val="32"/>
        </w:rPr>
        <w:t>大地貌组合类型特征、生态系统类型及其组合特征、区域断裂及成土母岩（质）型特征。分区命名方式为大地貌类型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+</w:t>
      </w:r>
      <w:r>
        <w:rPr>
          <w:rFonts w:hint="eastAsia" w:ascii="Times New Roman" w:hAnsi="Times New Roman" w:eastAsia="方正仿宋_GB2312"/>
          <w:color w:val="auto"/>
          <w:sz w:val="32"/>
          <w:szCs w:val="32"/>
        </w:rPr>
        <w:t>生态区，并在一级分区的基础上进行分级编号，如1.1大兴安岭生态区。</w:t>
      </w:r>
    </w:p>
    <w:tbl>
      <w:tblPr>
        <w:tblStyle w:val="18"/>
        <w:tblW w:w="5323" w:type="pct"/>
        <w:tblInd w:w="-17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887"/>
        <w:gridCol w:w="1139"/>
        <w:gridCol w:w="619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tblHeader/>
        </w:trPr>
        <w:tc>
          <w:tcPr>
            <w:tcW w:w="850" w:type="dxa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eastAsia="仿宋" w:cs="仿宋"/>
                <w:b/>
                <w:bCs/>
                <w:color w:val="auto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Cs w:val="21"/>
                <w:lang w:bidi="ar"/>
              </w:rPr>
              <w:t>二级区编号</w:t>
            </w:r>
          </w:p>
        </w:tc>
        <w:tc>
          <w:tcPr>
            <w:tcW w:w="887" w:type="dxa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Cs w:val="21"/>
                <w:lang w:bidi="ar"/>
              </w:rPr>
              <w:t>所属</w:t>
            </w: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仿宋" w:cs="仿宋"/>
                <w:b/>
                <w:bCs/>
                <w:color w:val="auto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Cs w:val="21"/>
                <w:lang w:bidi="ar"/>
              </w:rPr>
              <w:t>一级区</w:t>
            </w:r>
          </w:p>
        </w:tc>
        <w:tc>
          <w:tcPr>
            <w:tcW w:w="1139" w:type="dxa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Cs w:val="21"/>
                <w:lang w:bidi="ar"/>
              </w:rPr>
              <w:t>二级区</w:t>
            </w: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Cs w:val="21"/>
                <w:lang w:bidi="ar"/>
              </w:rPr>
              <w:t>名称</w:t>
            </w:r>
          </w:p>
        </w:tc>
        <w:tc>
          <w:tcPr>
            <w:tcW w:w="6197" w:type="dxa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仿宋" w:cs="仿宋"/>
                <w:b/>
                <w:bCs/>
                <w:color w:val="auto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auto"/>
                <w:kern w:val="0"/>
                <w:szCs w:val="21"/>
                <w:lang w:bidi="ar"/>
              </w:rPr>
              <w:t>二级区基本特征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7" w:hRule="atLeast"/>
        </w:trPr>
        <w:tc>
          <w:tcPr>
            <w:tcW w:w="850" w:type="dxa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1.1</w:t>
            </w:r>
          </w:p>
        </w:tc>
        <w:tc>
          <w:tcPr>
            <w:tcW w:w="887" w:type="dxa"/>
            <w:vMerge w:val="restart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pStyle w:val="2"/>
              <w:snapToGrid w:val="0"/>
              <w:spacing w:line="300" w:lineRule="exact"/>
              <w:ind w:firstLine="480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pStyle w:val="2"/>
              <w:snapToGrid w:val="0"/>
              <w:spacing w:line="300" w:lineRule="exact"/>
              <w:ind w:firstLine="480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东北</w:t>
            </w: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  <w:p>
            <w:pPr>
              <w:pStyle w:val="2"/>
              <w:snapToGrid w:val="0"/>
              <w:spacing w:line="300" w:lineRule="exact"/>
              <w:ind w:firstLine="480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pStyle w:val="2"/>
              <w:snapToGrid w:val="0"/>
              <w:spacing w:line="300" w:lineRule="exact"/>
              <w:ind w:firstLine="480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pStyle w:val="2"/>
              <w:snapToGrid w:val="0"/>
              <w:spacing w:line="300" w:lineRule="exact"/>
              <w:ind w:firstLine="0" w:firstLineChars="0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pStyle w:val="2"/>
              <w:snapToGrid w:val="0"/>
              <w:spacing w:line="300" w:lineRule="exact"/>
              <w:ind w:firstLine="0" w:firstLineChars="0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pStyle w:val="2"/>
              <w:snapToGrid w:val="0"/>
              <w:spacing w:line="300" w:lineRule="exact"/>
              <w:ind w:firstLine="0" w:firstLineChars="0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pStyle w:val="2"/>
              <w:snapToGrid w:val="0"/>
              <w:spacing w:line="300" w:lineRule="exact"/>
              <w:ind w:firstLine="0" w:firstLineChars="0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pStyle w:val="2"/>
              <w:snapToGrid w:val="0"/>
              <w:spacing w:line="300" w:lineRule="exact"/>
              <w:ind w:firstLine="0" w:firstLineChars="0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pStyle w:val="2"/>
              <w:snapToGrid w:val="0"/>
              <w:spacing w:line="300" w:lineRule="exact"/>
              <w:ind w:firstLine="0" w:firstLineChars="0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pStyle w:val="2"/>
              <w:snapToGrid w:val="0"/>
              <w:spacing w:line="300" w:lineRule="exact"/>
              <w:ind w:firstLine="0" w:firstLineChars="0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pStyle w:val="2"/>
              <w:snapToGrid w:val="0"/>
              <w:spacing w:line="300" w:lineRule="exact"/>
              <w:ind w:firstLine="0" w:firstLineChars="0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pStyle w:val="2"/>
              <w:snapToGrid w:val="0"/>
              <w:spacing w:line="300" w:lineRule="exact"/>
              <w:ind w:firstLine="0" w:firstLineChars="0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pStyle w:val="2"/>
              <w:snapToGrid w:val="0"/>
              <w:spacing w:line="300" w:lineRule="exact"/>
              <w:ind w:firstLine="0" w:firstLineChars="0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pStyle w:val="2"/>
              <w:snapToGrid w:val="0"/>
              <w:spacing w:line="300" w:lineRule="exact"/>
              <w:ind w:firstLine="0" w:firstLineChars="0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pStyle w:val="2"/>
              <w:snapToGrid w:val="0"/>
              <w:spacing w:line="300" w:lineRule="exact"/>
              <w:ind w:firstLine="0" w:firstLineChars="0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pStyle w:val="2"/>
              <w:ind w:firstLine="0" w:firstLineChars="0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东北</w:t>
            </w: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snapToGrid w:val="0"/>
              <w:spacing w:line="300" w:lineRule="exact"/>
              <w:jc w:val="both"/>
              <w:textAlignment w:val="center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snapToGrid w:val="0"/>
              <w:spacing w:line="300" w:lineRule="exact"/>
              <w:jc w:val="both"/>
              <w:textAlignment w:val="center"/>
              <w:rPr>
                <w:rFonts w:eastAsia="方正仿宋_GB2312" w:cs="方正仿宋_GB2312"/>
                <w:color w:val="auto"/>
                <w:kern w:val="0"/>
                <w:szCs w:val="21"/>
                <w:lang w:bidi="ar"/>
              </w:rPr>
            </w:pPr>
          </w:p>
        </w:tc>
        <w:tc>
          <w:tcPr>
            <w:tcW w:w="1139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大兴安岭</w:t>
            </w: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</w:tc>
        <w:tc>
          <w:tcPr>
            <w:tcW w:w="6197" w:type="dxa"/>
            <w:noWrap w:val="0"/>
            <w:vAlign w:val="center"/>
          </w:tcPr>
          <w:p>
            <w:pPr>
              <w:widowControl/>
              <w:snapToGrid w:val="0"/>
              <w:spacing w:line="290" w:lineRule="exact"/>
              <w:textAlignment w:val="center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属寒温带湿润和中温带半干旱半湿润气候，年均降水量3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3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0~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56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0毫米。地貌类型以中山和低山地貌为主。土壤以暗棕壤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棕色针叶林土为主，多年冻土广泛分布，成土母岩以中等风化型为主。</w:t>
            </w:r>
            <w:r>
              <w:rPr>
                <w:rFonts w:hint="eastAsia" w:eastAsia="方正仿宋_GB2312" w:cs="方正仿宋_GB2312"/>
                <w:color w:val="auto"/>
                <w:szCs w:val="21"/>
              </w:rPr>
              <w:t>本区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是我国唯一的寒温带针叶林区，是黑龙江、嫩江等水系重要源头和水源涵养区，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具有重要的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水源涵养、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水土保持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、固碳和生物多样性保护功能。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0" w:type="dxa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1.2</w:t>
            </w:r>
          </w:p>
        </w:tc>
        <w:tc>
          <w:tcPr>
            <w:tcW w:w="887" w:type="dxa"/>
            <w:vMerge w:val="continue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eastAsia="方正仿宋_GB2312" w:cs="方正仿宋_GB2312"/>
                <w:color w:val="auto"/>
                <w:kern w:val="0"/>
                <w:szCs w:val="21"/>
                <w:lang w:bidi="ar"/>
              </w:rPr>
            </w:pPr>
          </w:p>
        </w:tc>
        <w:tc>
          <w:tcPr>
            <w:tcW w:w="1139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小兴安岭</w:t>
            </w: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</w:tc>
        <w:tc>
          <w:tcPr>
            <w:tcW w:w="6197" w:type="dxa"/>
            <w:noWrap w:val="0"/>
            <w:vAlign w:val="center"/>
          </w:tcPr>
          <w:p>
            <w:pPr>
              <w:widowControl/>
              <w:snapToGrid w:val="0"/>
              <w:spacing w:line="290" w:lineRule="exact"/>
              <w:textAlignment w:val="center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属中温带湿润气候，年均降水量5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0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0~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72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0毫米。地貌类型以低山和丘陵地貌为主。土壤以暗棕壤为主，不连续岛状多年冻土主要分布于北部地区。成土母岩以中等风化型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难风化型为主。本区是我国阔叶红松林主要分布区，也是黑龙江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松花江、嫩江的水源涵养区，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具有重要的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水源涵养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生物多样性保护和林产品提供功能。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9" w:hRule="atLeast"/>
        </w:trPr>
        <w:tc>
          <w:tcPr>
            <w:tcW w:w="850" w:type="dxa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1.3</w:t>
            </w:r>
          </w:p>
        </w:tc>
        <w:tc>
          <w:tcPr>
            <w:tcW w:w="887" w:type="dxa"/>
            <w:vMerge w:val="continue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eastAsia="方正仿宋_GB2312" w:cs="方正仿宋_GB2312"/>
                <w:color w:val="auto"/>
                <w:kern w:val="0"/>
                <w:szCs w:val="21"/>
                <w:lang w:bidi="ar"/>
              </w:rPr>
            </w:pPr>
          </w:p>
        </w:tc>
        <w:tc>
          <w:tcPr>
            <w:tcW w:w="1139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三江平原</w:t>
            </w: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</w:tc>
        <w:tc>
          <w:tcPr>
            <w:tcW w:w="6197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textAlignment w:val="center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属中温带湿润气候，年均降水量5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2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0~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80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0毫米。地貌类型以平原地貌为主。土壤以黑土、白浆土、暗棕壤为主，成土母质以松散堆积型为主。</w:t>
            </w:r>
            <w:r>
              <w:rPr>
                <w:rFonts w:hint="eastAsia" w:eastAsia="方正仿宋_GB2312" w:cs="方正仿宋_GB2312"/>
                <w:color w:val="auto"/>
                <w:szCs w:val="21"/>
              </w:rPr>
              <w:t>本区</w:t>
            </w:r>
            <w:r>
              <w:rPr>
                <w:rFonts w:hint="eastAsia" w:eastAsia="方正仿宋_GB2312" w:cs="方正仿宋_GB2312"/>
                <w:color w:val="auto"/>
                <w:szCs w:val="21"/>
                <w:lang w:eastAsia="zh-CN"/>
              </w:rPr>
              <w:t>是由黑龙江、乌苏里江和松花江汇流形成的冲积平原，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是我国东北重要的粮食产区，也是我国最大的淡水沼泽区和重要的湿地保护区，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具有重要的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农产品提供、洪水调蓄和生物多样性保护功能。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8" w:hRule="atLeast"/>
        </w:trPr>
        <w:tc>
          <w:tcPr>
            <w:tcW w:w="850" w:type="dxa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1.4</w:t>
            </w:r>
          </w:p>
        </w:tc>
        <w:tc>
          <w:tcPr>
            <w:tcW w:w="887" w:type="dxa"/>
            <w:vMerge w:val="continue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eastAsia="方正仿宋_GB2312" w:cs="方正仿宋_GB2312"/>
                <w:color w:val="auto"/>
                <w:kern w:val="0"/>
                <w:szCs w:val="21"/>
                <w:lang w:bidi="ar"/>
              </w:rPr>
            </w:pPr>
          </w:p>
        </w:tc>
        <w:tc>
          <w:tcPr>
            <w:tcW w:w="1139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长白山</w:t>
            </w: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</w:tc>
        <w:tc>
          <w:tcPr>
            <w:tcW w:w="6197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textAlignment w:val="center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属中温带湿润气候，年均降水量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5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00~1100毫米。地貌类型以中山和低山地貌为主。土壤以暗棕壤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棕壤为主，成土母岩以易风化型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中等风化型为主。</w:t>
            </w:r>
            <w:r>
              <w:rPr>
                <w:rFonts w:hint="eastAsia" w:eastAsia="方正仿宋_GB2312" w:cs="方正仿宋_GB2312"/>
                <w:color w:val="auto"/>
                <w:szCs w:val="21"/>
              </w:rPr>
              <w:t>本区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具有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完整的森林垂直带谱，是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重要的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物种基因库，也是鸭绿江、图们江和松花江的水源地，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具有重要的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水源涵养、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水土保持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和生物多样性保护功能。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850" w:type="dxa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1.5</w:t>
            </w:r>
          </w:p>
        </w:tc>
        <w:tc>
          <w:tcPr>
            <w:tcW w:w="887" w:type="dxa"/>
            <w:vMerge w:val="continue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eastAsia="方正仿宋_GB2312" w:cs="方正仿宋_GB2312"/>
                <w:color w:val="auto"/>
                <w:kern w:val="0"/>
                <w:szCs w:val="21"/>
                <w:lang w:bidi="ar"/>
              </w:rPr>
            </w:pPr>
          </w:p>
        </w:tc>
        <w:tc>
          <w:tcPr>
            <w:tcW w:w="1139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松嫩平原</w:t>
            </w: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</w:tc>
        <w:tc>
          <w:tcPr>
            <w:tcW w:w="6197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textAlignment w:val="center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属中温带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湿润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半湿润气候，年均降水量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38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0~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76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0毫米。地貌类型以平原地貌为主。土壤以黑土、暗棕壤、黑钙土、栗钙土等为主，成土母质以松散堆积型为主。</w:t>
            </w:r>
            <w:r>
              <w:rPr>
                <w:rFonts w:hint="eastAsia" w:eastAsia="方正仿宋_GB2312" w:cs="方正仿宋_GB2312"/>
                <w:color w:val="auto"/>
                <w:szCs w:val="21"/>
              </w:rPr>
              <w:t>本区是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我国重要粮食产区之一，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具有重要的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农产品提供和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水土保持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功能。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1" w:hRule="atLeast"/>
        </w:trPr>
        <w:tc>
          <w:tcPr>
            <w:tcW w:w="850" w:type="dxa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1.6</w:t>
            </w:r>
          </w:p>
        </w:tc>
        <w:tc>
          <w:tcPr>
            <w:tcW w:w="887" w:type="dxa"/>
            <w:vMerge w:val="continue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eastAsia="方正仿宋_GB2312" w:cs="方正仿宋_GB2312"/>
                <w:color w:val="auto"/>
                <w:kern w:val="0"/>
                <w:szCs w:val="21"/>
                <w:lang w:bidi="ar"/>
              </w:rPr>
            </w:pPr>
          </w:p>
        </w:tc>
        <w:tc>
          <w:tcPr>
            <w:tcW w:w="1139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辽河</w:t>
            </w: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</w:tc>
        <w:tc>
          <w:tcPr>
            <w:tcW w:w="6197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textAlignment w:val="center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属中温带半干旱和暖温带半湿润气候，年均降水量3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3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0~7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9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0毫米。地貌类型以平原、丘陵和中低山地貌为主。土壤以栗钙土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栗褐土、风沙土等为主，成土母岩（质）以松散堆积型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中等风化型为主。</w:t>
            </w:r>
            <w:r>
              <w:rPr>
                <w:rFonts w:hint="eastAsia" w:eastAsia="方正仿宋_GB2312" w:cs="方正仿宋_GB2312"/>
                <w:color w:val="auto"/>
                <w:szCs w:val="21"/>
              </w:rPr>
              <w:t>本区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具有重要的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农产品提供、水源涵养、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水土保持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和防风固沙功能。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70" w:hRule="atLeast"/>
        </w:trPr>
        <w:tc>
          <w:tcPr>
            <w:tcW w:w="850" w:type="dxa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2.1</w:t>
            </w:r>
          </w:p>
        </w:tc>
        <w:tc>
          <w:tcPr>
            <w:tcW w:w="887" w:type="dxa"/>
            <w:vMerge w:val="restart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  <w:p>
            <w:pPr>
              <w:pStyle w:val="2"/>
              <w:rPr>
                <w:rFonts w:hint="eastAsia" w:eastAsia="方正仿宋_GB2312" w:cs="方正仿宋_GB2312"/>
                <w:color w:val="auto"/>
                <w:szCs w:val="21"/>
              </w:rPr>
            </w:pPr>
          </w:p>
          <w:p>
            <w:pPr>
              <w:pStyle w:val="2"/>
              <w:rPr>
                <w:rFonts w:hint="eastAsia" w:eastAsia="方正仿宋_GB2312" w:cs="方正仿宋_GB2312"/>
                <w:color w:val="auto"/>
                <w:szCs w:val="21"/>
              </w:rPr>
            </w:pPr>
          </w:p>
          <w:p>
            <w:pPr>
              <w:pStyle w:val="2"/>
              <w:rPr>
                <w:rFonts w:hint="eastAsia" w:eastAsia="方正仿宋_GB2312" w:cs="方正仿宋_GB2312"/>
                <w:color w:val="auto"/>
                <w:szCs w:val="21"/>
              </w:rPr>
            </w:pP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szCs w:val="21"/>
              </w:rPr>
              <w:t>黄河</w:t>
            </w: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szCs w:val="21"/>
              </w:rPr>
              <w:t>重点</w:t>
            </w:r>
          </w:p>
          <w:p>
            <w:pPr>
              <w:pStyle w:val="2"/>
              <w:snapToGrid w:val="0"/>
              <w:spacing w:line="300" w:lineRule="exact"/>
              <w:ind w:firstLine="0" w:firstLineChars="0"/>
              <w:jc w:val="center"/>
              <w:rPr>
                <w:rFonts w:hint="eastAsia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sz w:val="21"/>
                <w:szCs w:val="21"/>
              </w:rPr>
              <w:t>生态区</w:t>
            </w: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  <w:p>
            <w:pPr>
              <w:pStyle w:val="2"/>
              <w:rPr>
                <w:rFonts w:hint="eastAsia" w:eastAsia="方正仿宋_GB2312" w:cs="方正仿宋_GB2312"/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rFonts w:hint="eastAsia" w:eastAsia="方正仿宋_GB2312" w:cs="方正仿宋_GB2312"/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rFonts w:hint="eastAsia" w:eastAsia="方正仿宋_GB2312" w:cs="方正仿宋_GB2312"/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rFonts w:hint="eastAsia" w:eastAsia="方正仿宋_GB2312" w:cs="方正仿宋_GB2312"/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rFonts w:hint="eastAsia" w:eastAsia="方正仿宋_GB2312" w:cs="方正仿宋_GB2312"/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rFonts w:hint="eastAsia" w:eastAsia="方正仿宋_GB2312" w:cs="方正仿宋_GB2312"/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rFonts w:hint="eastAsia" w:eastAsia="方正仿宋_GB2312" w:cs="方正仿宋_GB2312"/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rFonts w:hint="eastAsia" w:eastAsia="方正仿宋_GB2312" w:cs="方正仿宋_GB2312"/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rFonts w:hint="eastAsia" w:eastAsia="方正仿宋_GB2312" w:cs="方正仿宋_GB2312"/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rFonts w:hint="eastAsia" w:eastAsia="方正仿宋_GB2312" w:cs="方正仿宋_GB2312"/>
                <w:color w:val="auto"/>
                <w:sz w:val="21"/>
                <w:szCs w:val="21"/>
              </w:rPr>
            </w:pPr>
          </w:p>
          <w:p>
            <w:pPr>
              <w:widowControl/>
              <w:snapToGrid w:val="0"/>
              <w:spacing w:line="300" w:lineRule="exact"/>
              <w:jc w:val="both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szCs w:val="21"/>
              </w:rPr>
              <w:t>黄河</w:t>
            </w: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szCs w:val="21"/>
              </w:rPr>
              <w:t>重点</w:t>
            </w:r>
          </w:p>
          <w:p>
            <w:pPr>
              <w:pStyle w:val="2"/>
              <w:snapToGrid w:val="0"/>
              <w:spacing w:line="300" w:lineRule="exact"/>
              <w:ind w:firstLine="0" w:firstLineChars="0"/>
              <w:jc w:val="both"/>
              <w:rPr>
                <w:rFonts w:hint="eastAsia" w:eastAsia="方正仿宋_GB2312" w:cs="方正仿宋_GB2312"/>
                <w:color w:val="auto"/>
                <w:sz w:val="21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sz w:val="21"/>
                <w:szCs w:val="21"/>
              </w:rPr>
              <w:t>生态区</w:t>
            </w:r>
          </w:p>
          <w:p>
            <w:pPr>
              <w:pStyle w:val="2"/>
              <w:snapToGrid w:val="0"/>
              <w:spacing w:line="300" w:lineRule="exact"/>
              <w:ind w:firstLine="0" w:firstLineChars="0"/>
              <w:jc w:val="both"/>
              <w:rPr>
                <w:rFonts w:hint="eastAsia" w:eastAsia="方正仿宋_GB2312" w:cs="方正仿宋_GB2312"/>
                <w:color w:val="auto"/>
                <w:sz w:val="21"/>
                <w:szCs w:val="21"/>
              </w:rPr>
            </w:pPr>
          </w:p>
          <w:p>
            <w:pPr>
              <w:pStyle w:val="2"/>
              <w:snapToGrid w:val="0"/>
              <w:spacing w:line="300" w:lineRule="exact"/>
              <w:ind w:firstLine="0" w:firstLineChars="0"/>
              <w:jc w:val="both"/>
              <w:rPr>
                <w:rFonts w:hint="eastAsia" w:eastAsia="方正仿宋_GB2312" w:cs="方正仿宋_GB2312"/>
                <w:color w:val="auto"/>
                <w:sz w:val="21"/>
                <w:szCs w:val="21"/>
              </w:rPr>
            </w:pPr>
          </w:p>
          <w:p>
            <w:pPr>
              <w:pStyle w:val="2"/>
              <w:snapToGrid w:val="0"/>
              <w:spacing w:line="300" w:lineRule="exact"/>
              <w:ind w:firstLine="0" w:firstLineChars="0"/>
              <w:jc w:val="both"/>
              <w:rPr>
                <w:rFonts w:hint="eastAsia" w:eastAsia="方正仿宋_GB2312" w:cs="方正仿宋_GB2312"/>
                <w:color w:val="auto"/>
                <w:sz w:val="21"/>
                <w:szCs w:val="21"/>
              </w:rPr>
            </w:pPr>
          </w:p>
          <w:p>
            <w:pPr>
              <w:pStyle w:val="2"/>
              <w:snapToGrid w:val="0"/>
              <w:spacing w:line="300" w:lineRule="exact"/>
              <w:ind w:firstLine="0" w:firstLineChars="0"/>
              <w:jc w:val="both"/>
              <w:rPr>
                <w:rFonts w:hint="eastAsia" w:eastAsia="方正仿宋_GB2312" w:cs="方正仿宋_GB2312"/>
                <w:color w:val="auto"/>
                <w:sz w:val="21"/>
                <w:szCs w:val="21"/>
              </w:rPr>
            </w:pPr>
          </w:p>
          <w:p>
            <w:pPr>
              <w:pStyle w:val="2"/>
              <w:snapToGrid w:val="0"/>
              <w:spacing w:line="300" w:lineRule="exact"/>
              <w:ind w:firstLine="0" w:firstLineChars="0"/>
              <w:jc w:val="both"/>
              <w:rPr>
                <w:rFonts w:hint="eastAsia" w:eastAsia="方正仿宋_GB2312" w:cs="方正仿宋_GB2312"/>
                <w:color w:val="auto"/>
                <w:sz w:val="21"/>
                <w:szCs w:val="21"/>
              </w:rPr>
            </w:pPr>
          </w:p>
          <w:p>
            <w:pPr>
              <w:pStyle w:val="2"/>
              <w:snapToGrid w:val="0"/>
              <w:spacing w:line="300" w:lineRule="exact"/>
              <w:ind w:firstLine="0" w:firstLineChars="0"/>
              <w:rPr>
                <w:rFonts w:hint="eastAsia" w:eastAsia="方正仿宋_GB2312" w:cs="方正仿宋_GB2312"/>
                <w:color w:val="auto"/>
                <w:sz w:val="21"/>
                <w:szCs w:val="21"/>
              </w:rPr>
            </w:pPr>
          </w:p>
          <w:p>
            <w:pPr>
              <w:pStyle w:val="2"/>
              <w:snapToGrid w:val="0"/>
              <w:spacing w:line="300" w:lineRule="exact"/>
              <w:rPr>
                <w:rFonts w:hint="eastAsia" w:eastAsia="方正仿宋_GB2312" w:cs="方正仿宋_GB2312"/>
                <w:color w:val="auto"/>
                <w:sz w:val="21"/>
                <w:szCs w:val="21"/>
              </w:rPr>
            </w:pPr>
          </w:p>
          <w:p>
            <w:pPr>
              <w:pStyle w:val="2"/>
              <w:snapToGrid w:val="0"/>
              <w:spacing w:line="300" w:lineRule="exact"/>
              <w:rPr>
                <w:rFonts w:hint="eastAsia" w:eastAsia="方正仿宋_GB2312" w:cs="方正仿宋_GB2312"/>
                <w:color w:val="auto"/>
                <w:sz w:val="21"/>
                <w:szCs w:val="21"/>
              </w:rPr>
            </w:pPr>
          </w:p>
          <w:p>
            <w:pPr>
              <w:pStyle w:val="2"/>
              <w:snapToGrid w:val="0"/>
              <w:spacing w:line="300" w:lineRule="exact"/>
              <w:ind w:firstLine="0" w:firstLineChars="0"/>
              <w:jc w:val="center"/>
              <w:rPr>
                <w:rFonts w:eastAsia="方正仿宋_GB2312" w:cs="方正仿宋_GB2312"/>
                <w:color w:val="auto"/>
                <w:sz w:val="21"/>
                <w:szCs w:val="21"/>
              </w:rPr>
            </w:pPr>
          </w:p>
        </w:tc>
        <w:tc>
          <w:tcPr>
            <w:tcW w:w="1139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鲁中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胶东丘陵</w:t>
            </w: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</w:tc>
        <w:tc>
          <w:tcPr>
            <w:tcW w:w="6197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属暖温带湿润半湿润气候，年均降水量600~1000毫米。地貌类型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以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低山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丘陵等地貌为主。土壤以粗骨土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棕壤为主，成土母岩以中等风化型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难风化型为主。</w:t>
            </w:r>
            <w:r>
              <w:rPr>
                <w:rFonts w:hint="eastAsia" w:eastAsia="方正仿宋_GB2312" w:cs="方正仿宋_GB2312"/>
                <w:color w:val="auto"/>
                <w:szCs w:val="21"/>
              </w:rPr>
              <w:t>本区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具有重要的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农产品提供、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水土保持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和水源涵养功能。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8" w:hRule="atLeast"/>
        </w:trPr>
        <w:tc>
          <w:tcPr>
            <w:tcW w:w="850" w:type="dxa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2.2</w:t>
            </w:r>
          </w:p>
        </w:tc>
        <w:tc>
          <w:tcPr>
            <w:tcW w:w="887" w:type="dxa"/>
            <w:vMerge w:val="continue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</w:tc>
        <w:tc>
          <w:tcPr>
            <w:tcW w:w="1139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华北平原</w:t>
            </w: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</w:tc>
        <w:tc>
          <w:tcPr>
            <w:tcW w:w="6197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textAlignment w:val="center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属暖温带半湿润和北亚热带湿润气候，年均降水量为450~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10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00毫米。地貌类型以平原为主。土壤以潮土为主，成土母质以松散堆积型为主。</w:t>
            </w:r>
            <w:r>
              <w:rPr>
                <w:rFonts w:hint="eastAsia" w:eastAsia="方正仿宋_GB2312" w:cs="方正仿宋_GB2312"/>
                <w:color w:val="auto"/>
                <w:szCs w:val="21"/>
              </w:rPr>
              <w:t>本区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是我国重要的粮食产区之一，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具有重要的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农产品提供和大都市群人居保障功能。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20" w:hRule="atLeast"/>
        </w:trPr>
        <w:tc>
          <w:tcPr>
            <w:tcW w:w="850" w:type="dxa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2.3</w:t>
            </w:r>
          </w:p>
        </w:tc>
        <w:tc>
          <w:tcPr>
            <w:tcW w:w="887" w:type="dxa"/>
            <w:vMerge w:val="continue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</w:tc>
        <w:tc>
          <w:tcPr>
            <w:tcW w:w="1139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燕山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太行山</w:t>
            </w: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</w:tc>
        <w:tc>
          <w:tcPr>
            <w:tcW w:w="6197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属暖温带半湿润气候，年均降水量在3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7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0~700毫米。本区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位于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中国地形第二阶梯的东缘，地貌类型以中山地貌为主。土壤以褐土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黄绵土为主，成土母岩以中等风化型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难风化型为主。</w:t>
            </w:r>
            <w:r>
              <w:rPr>
                <w:rFonts w:hint="eastAsia" w:eastAsia="方正仿宋_GB2312" w:cs="方正仿宋_GB2312"/>
                <w:color w:val="auto"/>
                <w:szCs w:val="21"/>
              </w:rPr>
              <w:t>本区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是黄土高原森林草地与华北平原落叶阔叶林的地理分界线，也是海河及其他诸多河流的发源地，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具有重要的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水源涵养、防风固沙和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水土保持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功能。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6" w:hRule="atLeast"/>
        </w:trPr>
        <w:tc>
          <w:tcPr>
            <w:tcW w:w="850" w:type="dxa"/>
            <w:noWrap/>
            <w:vAlign w:val="center"/>
          </w:tcPr>
          <w:p>
            <w:pPr>
              <w:snapToGrid w:val="0"/>
              <w:spacing w:line="300" w:lineRule="exact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2.4</w:t>
            </w:r>
          </w:p>
          <w:p>
            <w:pPr>
              <w:pStyle w:val="2"/>
              <w:snapToGrid w:val="0"/>
              <w:spacing w:line="300" w:lineRule="exact"/>
              <w:ind w:firstLine="0" w:firstLineChars="0"/>
              <w:jc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887" w:type="dxa"/>
            <w:vMerge w:val="continue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</w:tc>
        <w:tc>
          <w:tcPr>
            <w:tcW w:w="1139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汾渭盆地</w:t>
            </w: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</w:tc>
        <w:tc>
          <w:tcPr>
            <w:tcW w:w="6197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属暖温带半湿润气候，年均降水量450~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69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0毫米。地貌类型以平原地貌为主。土壤以褐土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黄绵土为主，成土母质以松散堆积型为主。</w:t>
            </w:r>
            <w:r>
              <w:rPr>
                <w:rFonts w:hint="eastAsia" w:eastAsia="方正仿宋_GB2312" w:cs="方正仿宋_GB2312"/>
                <w:color w:val="auto"/>
                <w:szCs w:val="21"/>
              </w:rPr>
              <w:t>本区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是黄河中游光、热、水土条件匹配最好的区域，利于工农业开发，是我国中部重要的粮食产区和城市群分布区，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具有重要的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农产品提供和重点城镇群人居保障功能。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08" w:hRule="atLeast"/>
        </w:trPr>
        <w:tc>
          <w:tcPr>
            <w:tcW w:w="850" w:type="dxa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2.5</w:t>
            </w:r>
          </w:p>
        </w:tc>
        <w:tc>
          <w:tcPr>
            <w:tcW w:w="887" w:type="dxa"/>
            <w:vMerge w:val="continue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</w:tc>
        <w:tc>
          <w:tcPr>
            <w:tcW w:w="1139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黄土高原</w:t>
            </w: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</w:tc>
        <w:tc>
          <w:tcPr>
            <w:tcW w:w="6197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属暖温带半干旱半湿润气候，年均降水量200~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68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0毫米。地貌类型以中山、低山、丘陵、台地等黄土地貌为主。土壤主要以黄绵土为主，成土母质以松散堆积型为主，质地疏松，极易渗水，抗侵蚀能力弱，易产生水土流失。</w:t>
            </w:r>
            <w:r>
              <w:rPr>
                <w:rFonts w:hint="eastAsia" w:eastAsia="方正仿宋_GB2312" w:cs="方正仿宋_GB2312"/>
                <w:color w:val="auto"/>
                <w:szCs w:val="21"/>
              </w:rPr>
              <w:t>本区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是我国中部地区重要的动植物种质资源基因库，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具有重要的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水土保持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、防风固沙和生物多样性保护功能。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0" w:hRule="atLeast"/>
        </w:trPr>
        <w:tc>
          <w:tcPr>
            <w:tcW w:w="850" w:type="dxa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2.6</w:t>
            </w:r>
          </w:p>
        </w:tc>
        <w:tc>
          <w:tcPr>
            <w:tcW w:w="887" w:type="dxa"/>
            <w:vMerge w:val="continue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</w:tc>
        <w:tc>
          <w:tcPr>
            <w:tcW w:w="1139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鄂尔多斯</w:t>
            </w: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高原</w:t>
            </w: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</w:tc>
        <w:tc>
          <w:tcPr>
            <w:tcW w:w="6197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属中温带干旱半干旱气候，年均降水量1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5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0~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4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00毫米。地貌类型以台地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平原地貌为主。土壤以棕钙土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风沙土为主，成土母岩（质）以松散堆积型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难风化型为主。</w:t>
            </w:r>
            <w:r>
              <w:rPr>
                <w:rFonts w:hint="eastAsia" w:eastAsia="方正仿宋_GB2312" w:cs="方正仿宋_GB2312"/>
                <w:color w:val="auto"/>
                <w:szCs w:val="21"/>
              </w:rPr>
              <w:t>本区是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生态脆弱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敏感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区，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具有重要的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防风固沙功能。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2" w:hRule="atLeast"/>
        </w:trPr>
        <w:tc>
          <w:tcPr>
            <w:tcW w:w="850" w:type="dxa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2.7</w:t>
            </w:r>
          </w:p>
        </w:tc>
        <w:tc>
          <w:tcPr>
            <w:tcW w:w="887" w:type="dxa"/>
            <w:vMerge w:val="continue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</w:tc>
        <w:tc>
          <w:tcPr>
            <w:tcW w:w="1139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贺兰山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河套平原</w:t>
            </w: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</w:tc>
        <w:tc>
          <w:tcPr>
            <w:tcW w:w="6197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属中温带干旱半干旱气候，年均降水量1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4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0~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39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0毫米。地貌类型以中山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平原地貌为主。土壤以棕钙土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灌淤土为主，成土母岩（质）以松散堆积型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难风化型为主。</w:t>
            </w:r>
            <w:r>
              <w:rPr>
                <w:rFonts w:hint="eastAsia" w:eastAsia="方正仿宋_GB2312" w:cs="方正仿宋_GB2312"/>
                <w:color w:val="auto"/>
                <w:szCs w:val="21"/>
              </w:rPr>
              <w:t>本区是我国重要的生态交错带，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highlight w:val="none"/>
                <w:lang w:bidi="ar"/>
              </w:rPr>
              <w:t>生态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highlight w:val="none"/>
                <w:lang w:eastAsia="zh-CN" w:bidi="ar"/>
              </w:rPr>
              <w:t>脆弱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highlight w:val="none"/>
                <w:lang w:val="en-US" w:eastAsia="zh-CN" w:bidi="ar"/>
              </w:rPr>
              <w:t>敏感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具有重要的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防风固沙、水源涵养和农产品提供功能。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4" w:hRule="atLeast"/>
        </w:trPr>
        <w:tc>
          <w:tcPr>
            <w:tcW w:w="850" w:type="dxa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2.8</w:t>
            </w:r>
          </w:p>
        </w:tc>
        <w:tc>
          <w:tcPr>
            <w:tcW w:w="887" w:type="dxa"/>
            <w:vMerge w:val="continue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</w:tc>
        <w:tc>
          <w:tcPr>
            <w:tcW w:w="1139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秦岭北麓</w:t>
            </w: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</w:tc>
        <w:tc>
          <w:tcPr>
            <w:tcW w:w="6197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属暖温带半湿润气候，年均降水量为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49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0~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83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0毫米。地貌类型以中山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低山地貌为主，整体山势呈西高东低。土壤以褐土为主，成土母岩以易风化、中等风化型为主。</w:t>
            </w:r>
            <w:r>
              <w:rPr>
                <w:rFonts w:hint="eastAsia" w:eastAsia="方正仿宋_GB2312" w:cs="方正仿宋_GB2312"/>
                <w:color w:val="auto"/>
                <w:szCs w:val="21"/>
              </w:rPr>
              <w:t>秦岭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高大山体阻隔了南方水汽北移和北方冷空气南下，是我国重要的气候分界线，</w:t>
            </w:r>
            <w:r>
              <w:rPr>
                <w:rFonts w:hint="eastAsia" w:eastAsia="方正仿宋_GB2312" w:cs="方正仿宋_GB2312"/>
                <w:color w:val="auto"/>
                <w:szCs w:val="21"/>
              </w:rPr>
              <w:t>为黄河和长江流域的重要分水岭，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具有重要的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水源涵养、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水土保持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、固碳和生物多样性保护功能。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850" w:type="dxa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3.1</w:t>
            </w:r>
          </w:p>
        </w:tc>
        <w:tc>
          <w:tcPr>
            <w:tcW w:w="887" w:type="dxa"/>
            <w:vMerge w:val="restart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rPr>
                <w:rFonts w:hint="eastAsia"/>
                <w:color w:val="auto"/>
                <w:szCs w:val="21"/>
              </w:rPr>
            </w:pPr>
          </w:p>
          <w:p>
            <w:pPr>
              <w:pStyle w:val="2"/>
              <w:snapToGrid w:val="0"/>
              <w:spacing w:line="300" w:lineRule="exact"/>
              <w:ind w:firstLine="480"/>
              <w:rPr>
                <w:rFonts w:hint="eastAsia"/>
                <w:color w:val="auto"/>
                <w:szCs w:val="21"/>
              </w:rPr>
            </w:pPr>
          </w:p>
          <w:p>
            <w:pPr>
              <w:pStyle w:val="2"/>
              <w:snapToGrid w:val="0"/>
              <w:spacing w:line="300" w:lineRule="exact"/>
              <w:ind w:firstLine="0" w:firstLineChars="0"/>
              <w:rPr>
                <w:rFonts w:hint="eastAsia"/>
                <w:color w:val="auto"/>
                <w:szCs w:val="21"/>
              </w:rPr>
            </w:pPr>
          </w:p>
          <w:p>
            <w:pPr>
              <w:pStyle w:val="2"/>
              <w:snapToGrid w:val="0"/>
              <w:spacing w:line="300" w:lineRule="exact"/>
              <w:ind w:firstLine="480"/>
              <w:rPr>
                <w:rFonts w:hint="eastAsia"/>
                <w:color w:val="auto"/>
                <w:szCs w:val="21"/>
              </w:rPr>
            </w:pP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pStyle w:val="2"/>
              <w:ind w:firstLine="480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长江及川滇</w:t>
            </w: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重点</w:t>
            </w: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  <w:p>
            <w:pPr>
              <w:widowControl/>
              <w:snapToGrid w:val="0"/>
              <w:spacing w:line="300" w:lineRule="exact"/>
              <w:jc w:val="center"/>
              <w:rPr>
                <w:color w:val="auto"/>
              </w:rPr>
            </w:pP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/>
                <w:color w:val="auto"/>
                <w:szCs w:val="21"/>
              </w:rPr>
            </w:pP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/>
                <w:color w:val="auto"/>
                <w:szCs w:val="21"/>
              </w:rPr>
            </w:pP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/>
                <w:color w:val="auto"/>
                <w:szCs w:val="21"/>
              </w:rPr>
            </w:pP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/>
                <w:color w:val="auto"/>
                <w:szCs w:val="21"/>
              </w:rPr>
            </w:pP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/>
                <w:color w:val="auto"/>
                <w:szCs w:val="21"/>
              </w:rPr>
            </w:pP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/>
                <w:color w:val="auto"/>
                <w:szCs w:val="21"/>
              </w:rPr>
            </w:pP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/>
                <w:color w:val="auto"/>
                <w:szCs w:val="21"/>
              </w:rPr>
            </w:pP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/>
                <w:color w:val="auto"/>
                <w:szCs w:val="21"/>
              </w:rPr>
            </w:pPr>
          </w:p>
          <w:p>
            <w:pPr>
              <w:widowControl/>
              <w:snapToGrid w:val="0"/>
              <w:spacing w:line="300" w:lineRule="exact"/>
              <w:jc w:val="center"/>
              <w:rPr>
                <w:color w:val="auto"/>
                <w:szCs w:val="21"/>
              </w:rPr>
            </w:pP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/>
                <w:color w:val="auto"/>
                <w:szCs w:val="21"/>
              </w:rPr>
            </w:pPr>
          </w:p>
          <w:p>
            <w:pPr>
              <w:pStyle w:val="7"/>
              <w:snapToGrid w:val="0"/>
              <w:spacing w:line="300" w:lineRule="exact"/>
              <w:ind w:firstLine="0" w:firstLineChars="0"/>
              <w:jc w:val="both"/>
              <w:rPr>
                <w:rFonts w:hint="eastAsia"/>
                <w:color w:val="auto"/>
                <w:sz w:val="21"/>
                <w:szCs w:val="21"/>
              </w:rPr>
            </w:pPr>
          </w:p>
          <w:p>
            <w:pPr>
              <w:snapToGrid w:val="0"/>
              <w:spacing w:line="300" w:lineRule="exact"/>
              <w:jc w:val="center"/>
              <w:rPr>
                <w:rFonts w:hint="eastAsia"/>
                <w:color w:val="auto"/>
                <w:szCs w:val="21"/>
              </w:rPr>
            </w:pPr>
          </w:p>
          <w:p>
            <w:pPr>
              <w:pStyle w:val="7"/>
              <w:snapToGrid w:val="0"/>
              <w:spacing w:line="300" w:lineRule="exact"/>
              <w:ind w:firstLine="420"/>
              <w:jc w:val="center"/>
              <w:rPr>
                <w:rFonts w:hint="eastAsia"/>
                <w:color w:val="auto"/>
                <w:sz w:val="21"/>
                <w:szCs w:val="21"/>
              </w:rPr>
            </w:pPr>
          </w:p>
          <w:p>
            <w:pPr>
              <w:pStyle w:val="7"/>
              <w:snapToGrid w:val="0"/>
              <w:spacing w:line="300" w:lineRule="exact"/>
              <w:ind w:firstLine="0" w:firstLineChars="0"/>
              <w:jc w:val="both"/>
              <w:rPr>
                <w:rFonts w:hint="eastAsia"/>
                <w:color w:val="auto"/>
                <w:sz w:val="21"/>
                <w:szCs w:val="21"/>
              </w:rPr>
            </w:pPr>
          </w:p>
          <w:p>
            <w:pPr>
              <w:snapToGrid w:val="0"/>
              <w:spacing w:line="300" w:lineRule="exact"/>
              <w:jc w:val="center"/>
              <w:rPr>
                <w:rFonts w:hint="eastAsia"/>
                <w:color w:val="auto"/>
                <w:szCs w:val="21"/>
              </w:rPr>
            </w:pPr>
          </w:p>
          <w:p>
            <w:pPr>
              <w:pStyle w:val="2"/>
              <w:snapToGrid w:val="0"/>
              <w:spacing w:line="300" w:lineRule="exact"/>
              <w:ind w:firstLine="480"/>
              <w:rPr>
                <w:rFonts w:hint="eastAsia"/>
                <w:color w:val="auto"/>
              </w:rPr>
            </w:pPr>
          </w:p>
          <w:p>
            <w:pPr>
              <w:pStyle w:val="2"/>
              <w:snapToGrid w:val="0"/>
              <w:spacing w:line="300" w:lineRule="exact"/>
              <w:ind w:firstLine="480"/>
              <w:rPr>
                <w:rFonts w:hint="eastAsia"/>
                <w:color w:val="auto"/>
              </w:rPr>
            </w:pPr>
          </w:p>
          <w:p>
            <w:pPr>
              <w:pStyle w:val="2"/>
              <w:snapToGrid w:val="0"/>
              <w:spacing w:line="300" w:lineRule="exact"/>
              <w:ind w:firstLine="480"/>
              <w:rPr>
                <w:rFonts w:hint="eastAsia"/>
                <w:color w:val="auto"/>
              </w:rPr>
            </w:pPr>
          </w:p>
          <w:p>
            <w:pPr>
              <w:pStyle w:val="2"/>
              <w:snapToGrid w:val="0"/>
              <w:spacing w:line="300" w:lineRule="exact"/>
              <w:ind w:firstLine="480"/>
              <w:rPr>
                <w:rFonts w:hint="eastAsia"/>
                <w:color w:val="auto"/>
              </w:rPr>
            </w:pPr>
          </w:p>
          <w:p>
            <w:pPr>
              <w:pStyle w:val="2"/>
              <w:snapToGrid w:val="0"/>
              <w:spacing w:line="300" w:lineRule="exact"/>
              <w:ind w:firstLine="480"/>
              <w:rPr>
                <w:rFonts w:hint="eastAsia"/>
                <w:color w:val="auto"/>
              </w:rPr>
            </w:pPr>
          </w:p>
          <w:p>
            <w:pPr>
              <w:pStyle w:val="2"/>
              <w:snapToGrid w:val="0"/>
              <w:spacing w:line="300" w:lineRule="exact"/>
              <w:ind w:firstLine="480"/>
              <w:rPr>
                <w:rFonts w:hint="eastAsia"/>
                <w:color w:val="auto"/>
              </w:rPr>
            </w:pPr>
          </w:p>
          <w:p>
            <w:pPr>
              <w:pStyle w:val="2"/>
              <w:snapToGrid w:val="0"/>
              <w:spacing w:line="300" w:lineRule="exact"/>
              <w:ind w:firstLine="480"/>
              <w:rPr>
                <w:rFonts w:hint="eastAsia"/>
                <w:color w:val="auto"/>
              </w:rPr>
            </w:pPr>
          </w:p>
          <w:p>
            <w:pPr>
              <w:pStyle w:val="2"/>
              <w:snapToGrid w:val="0"/>
              <w:spacing w:line="300" w:lineRule="exact"/>
              <w:ind w:firstLine="0" w:firstLineChars="0"/>
              <w:rPr>
                <w:rFonts w:hint="eastAsia"/>
                <w:color w:val="auto"/>
              </w:rPr>
            </w:pP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长江及川滇</w:t>
            </w: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重点</w:t>
            </w: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 w:eastAsia="方正仿宋_GB2312" w:cs="方正仿宋_GB2312"/>
                <w:color w:val="auto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</w:tc>
        <w:tc>
          <w:tcPr>
            <w:tcW w:w="1139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苏皖沿江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长江</w:t>
            </w: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三角洲</w:t>
            </w: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平原</w:t>
            </w: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</w:tc>
        <w:tc>
          <w:tcPr>
            <w:tcW w:w="6197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属北亚热带湿润气候，年均降水量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9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00~1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7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00毫米。地貌类型以平原地貌为主。土壤以水稻土和潮土为主，成土母质以松散堆积型为主。本区为长三角城市群集中分布区，是我国著名的水稻产区，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具有重要的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农产品提供、水源涵养、洪水调蓄、生物多样性保护和大都市群人居保障功能。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atLeast"/>
        </w:trPr>
        <w:tc>
          <w:tcPr>
            <w:tcW w:w="850" w:type="dxa"/>
            <w:noWrap/>
            <w:vAlign w:val="center"/>
          </w:tcPr>
          <w:p>
            <w:pPr>
              <w:pStyle w:val="2"/>
              <w:snapToGrid w:val="0"/>
              <w:spacing w:line="300" w:lineRule="exact"/>
              <w:ind w:firstLine="0" w:firstLineChars="0"/>
              <w:jc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lang w:bidi="ar"/>
              </w:rPr>
              <w:t>3.2</w:t>
            </w:r>
          </w:p>
        </w:tc>
        <w:tc>
          <w:tcPr>
            <w:tcW w:w="887" w:type="dxa"/>
            <w:vMerge w:val="continue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</w:tc>
        <w:tc>
          <w:tcPr>
            <w:tcW w:w="1139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长江中游</w:t>
            </w: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平原</w:t>
            </w: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</w:tc>
        <w:tc>
          <w:tcPr>
            <w:tcW w:w="6197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属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中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亚热带湿润气候，年均降水量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69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0~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20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00毫米。地貌类型以平原地貌为主。土壤以水稻土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潮土为主，成土母质以松散堆积型为主。本区河网稠密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湖泊众多，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具有重要的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农产品提供、洪水调蓄和生物多样性保护功能。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atLeast"/>
        </w:trPr>
        <w:tc>
          <w:tcPr>
            <w:tcW w:w="850" w:type="dxa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3.3</w:t>
            </w:r>
          </w:p>
        </w:tc>
        <w:tc>
          <w:tcPr>
            <w:tcW w:w="887" w:type="dxa"/>
            <w:vMerge w:val="continue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</w:tc>
        <w:tc>
          <w:tcPr>
            <w:tcW w:w="1139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黄山</w:t>
            </w:r>
          </w:p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</w:tc>
        <w:tc>
          <w:tcPr>
            <w:tcW w:w="6197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属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中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亚热带湿润气候，年均降水量1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2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00~2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4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00毫米。地貌类型以中山和丘陵地貌为主。土壤以红壤为主，成土母岩以难风化型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易风化型为主。</w:t>
            </w:r>
            <w:r>
              <w:rPr>
                <w:rFonts w:hint="eastAsia" w:eastAsia="方正仿宋_GB2312" w:cs="方正仿宋_GB2312"/>
                <w:color w:val="auto"/>
                <w:szCs w:val="21"/>
              </w:rPr>
              <w:t>本区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是新安江的重要水源地，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具有重要的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水源涵养功能。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850" w:type="dxa"/>
            <w:noWrap/>
            <w:vAlign w:val="center"/>
          </w:tcPr>
          <w:p>
            <w:pPr>
              <w:pStyle w:val="2"/>
              <w:snapToGrid w:val="0"/>
              <w:spacing w:line="300" w:lineRule="exact"/>
              <w:ind w:firstLine="0" w:firstLineChars="0"/>
              <w:jc w:val="center"/>
              <w:rPr>
                <w:rFonts w:hint="eastAsia"/>
                <w:color w:val="auto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lang w:bidi="ar"/>
              </w:rPr>
              <w:t>3.4</w:t>
            </w:r>
          </w:p>
        </w:tc>
        <w:tc>
          <w:tcPr>
            <w:tcW w:w="887" w:type="dxa"/>
            <w:vMerge w:val="continue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</w:tc>
        <w:tc>
          <w:tcPr>
            <w:tcW w:w="1139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罗霄山</w:t>
            </w: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</w:tc>
        <w:tc>
          <w:tcPr>
            <w:tcW w:w="6197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textAlignment w:val="center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属中亚热带湿润气候，年均降水量1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4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00~2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1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00毫米。地貌类型以中山和低山地貌为主。土壤以红壤为主，成土母岩以易风化型和难风化型为主。</w:t>
            </w:r>
            <w:r>
              <w:rPr>
                <w:rFonts w:hint="eastAsia" w:eastAsia="方正仿宋_GB2312" w:cs="方正仿宋_GB2312"/>
                <w:color w:val="auto"/>
                <w:szCs w:val="21"/>
              </w:rPr>
              <w:t>本区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是湘江、赣江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等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水系发源地，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具有重要的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水源涵养、生物多样性和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水土保持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功能。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4" w:hRule="atLeast"/>
        </w:trPr>
        <w:tc>
          <w:tcPr>
            <w:tcW w:w="850" w:type="dxa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3.5</w:t>
            </w:r>
          </w:p>
        </w:tc>
        <w:tc>
          <w:tcPr>
            <w:tcW w:w="887" w:type="dxa"/>
            <w:vMerge w:val="continue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</w:tc>
        <w:tc>
          <w:tcPr>
            <w:tcW w:w="1139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大别山</w:t>
            </w: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</w:tc>
        <w:tc>
          <w:tcPr>
            <w:tcW w:w="6197" w:type="dxa"/>
            <w:noWrap w:val="0"/>
            <w:vAlign w:val="center"/>
          </w:tcPr>
          <w:p>
            <w:pPr>
              <w:snapToGrid w:val="0"/>
              <w:spacing w:line="300" w:lineRule="exact"/>
              <w:rPr>
                <w:rFonts w:hint="eastAsia" w:eastAsia="方正仿宋_GB2312" w:cs="方正仿宋_GB2312"/>
                <w:color w:val="auto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属北亚热带湿润气候，年均降水量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8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00~1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9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00毫米。地貌类型以中山、低山和丘陵等地貌为主。土壤以棕壤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粗骨土为主，成土母岩以易风化型为主。</w:t>
            </w:r>
            <w:r>
              <w:rPr>
                <w:rFonts w:hint="eastAsia" w:eastAsia="方正仿宋_GB2312" w:cs="方正仿宋_GB2312"/>
                <w:color w:val="auto"/>
                <w:szCs w:val="21"/>
              </w:rPr>
              <w:t>本区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是长江水系和淮河水系的分水岭，南北两侧水系丰富，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具有重要的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水源涵养、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水土保持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和生物多样性保护功能。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5" w:hRule="atLeast"/>
        </w:trPr>
        <w:tc>
          <w:tcPr>
            <w:tcW w:w="850" w:type="dxa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3.6</w:t>
            </w:r>
          </w:p>
        </w:tc>
        <w:tc>
          <w:tcPr>
            <w:tcW w:w="887" w:type="dxa"/>
            <w:vMerge w:val="continue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</w:tc>
        <w:tc>
          <w:tcPr>
            <w:tcW w:w="1139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秦岭南麓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大巴山</w:t>
            </w: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</w:tc>
        <w:tc>
          <w:tcPr>
            <w:tcW w:w="6197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属北亚热带湿润气候，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年均降水量</w:t>
            </w:r>
            <w:r>
              <w:rPr>
                <w:rFonts w:hint="eastAsia" w:eastAsia="方正仿宋_GB2312"/>
                <w:color w:val="auto"/>
                <w:kern w:val="0"/>
                <w:szCs w:val="21"/>
                <w:lang w:val="en-US" w:eastAsia="zh-CN" w:bidi="ar"/>
              </w:rPr>
              <w:t>5</w:t>
            </w: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00~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1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5</w:t>
            </w: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00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毫米。地貌类型以中山和低山地貌为主，岩溶地貌广泛分布。土壤以黄棕壤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石灰土为主，成土母岩以难风化型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易风化型为主。本区是我国重要的水源涵养区，也是南水北调中线工程的战略水源地，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具有重要的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水源涵养、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水土保持和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生物多样性保护功能。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5" w:hRule="atLeast"/>
        </w:trPr>
        <w:tc>
          <w:tcPr>
            <w:tcW w:w="850" w:type="dxa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3.7</w:t>
            </w:r>
          </w:p>
        </w:tc>
        <w:tc>
          <w:tcPr>
            <w:tcW w:w="887" w:type="dxa"/>
            <w:vMerge w:val="continue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</w:tc>
        <w:tc>
          <w:tcPr>
            <w:tcW w:w="1139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武陵山</w:t>
            </w: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</w:tc>
        <w:tc>
          <w:tcPr>
            <w:tcW w:w="6197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属中亚热带湿润气候，年均降水量1000~1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7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00毫米。地貌类型以丘陵、中低山地貌为主。土壤以红壤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黄棕壤为主，成土母岩以难风化型为主。</w:t>
            </w:r>
            <w:r>
              <w:rPr>
                <w:rFonts w:hint="eastAsia" w:eastAsia="方正仿宋_GB2312" w:cs="方正仿宋_GB2312"/>
                <w:color w:val="auto"/>
                <w:szCs w:val="21"/>
              </w:rPr>
              <w:t>本区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是我国亚热带森林系统核心区，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具有重要的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水源涵养、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水土保持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和生物多样性保护功能。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0" w:hRule="atLeast"/>
        </w:trPr>
        <w:tc>
          <w:tcPr>
            <w:tcW w:w="850" w:type="dxa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3.8</w:t>
            </w:r>
          </w:p>
        </w:tc>
        <w:tc>
          <w:tcPr>
            <w:tcW w:w="887" w:type="dxa"/>
            <w:vMerge w:val="continue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</w:tc>
        <w:tc>
          <w:tcPr>
            <w:tcW w:w="1139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雪峰山</w:t>
            </w: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</w:tc>
        <w:tc>
          <w:tcPr>
            <w:tcW w:w="6197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属中亚热带湿润气候，年均降水量1300~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19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00毫米。地貌类型以中山、低山地貌为主，是云贵高原到江南丘陵的过渡带。土壤以红壤为主，成土母岩以易风化型为主。</w:t>
            </w:r>
            <w:r>
              <w:rPr>
                <w:rFonts w:hint="eastAsia" w:eastAsia="方正仿宋_GB2312" w:cs="方正仿宋_GB2312"/>
                <w:color w:val="auto"/>
                <w:szCs w:val="21"/>
              </w:rPr>
              <w:t>本区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具有较完好的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中亚热带常绿阔叶林森林生态系统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生物多样性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丰富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，森林植被具有较明显的垂直带谱，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具有重要的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水土保持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和生物多样性保护功能。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atLeast"/>
        </w:trPr>
        <w:tc>
          <w:tcPr>
            <w:tcW w:w="850" w:type="dxa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3.9</w:t>
            </w:r>
          </w:p>
        </w:tc>
        <w:tc>
          <w:tcPr>
            <w:tcW w:w="887" w:type="dxa"/>
            <w:vMerge w:val="continue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</w:tc>
        <w:tc>
          <w:tcPr>
            <w:tcW w:w="1139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湘中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桂林盆地</w:t>
            </w: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</w:tc>
        <w:tc>
          <w:tcPr>
            <w:tcW w:w="6197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textAlignment w:val="center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属中亚热带湿润气候，年均降水量1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2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00~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2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100毫米。地貌类型以丘陵和盆地等岩溶地貌为主。土壤以红壤和水稻土为主，成土母岩以难风化型为主。</w:t>
            </w:r>
            <w:r>
              <w:rPr>
                <w:rFonts w:hint="eastAsia" w:eastAsia="方正仿宋_GB2312" w:cs="方正仿宋_GB2312"/>
                <w:color w:val="auto"/>
                <w:szCs w:val="21"/>
              </w:rPr>
              <w:t>本区是湘江、漓江重要水源涵养区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具有重要的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水源涵养和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水土保持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功能。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0" w:hRule="atLeast"/>
        </w:trPr>
        <w:tc>
          <w:tcPr>
            <w:tcW w:w="850" w:type="dxa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/>
                <w:color w:val="auto"/>
              </w:rPr>
            </w:pP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3.10</w:t>
            </w:r>
          </w:p>
          <w:p>
            <w:pPr>
              <w:widowControl/>
              <w:snapToGrid w:val="0"/>
              <w:spacing w:line="300" w:lineRule="exact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</w:p>
        </w:tc>
        <w:tc>
          <w:tcPr>
            <w:tcW w:w="887" w:type="dxa"/>
            <w:vMerge w:val="continue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</w:tc>
        <w:tc>
          <w:tcPr>
            <w:tcW w:w="1139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both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贵州高原</w:t>
            </w: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  <w:p>
            <w:pPr>
              <w:widowControl/>
              <w:snapToGrid w:val="0"/>
              <w:spacing w:line="300" w:lineRule="exact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6197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textAlignment w:val="center"/>
              <w:rPr>
                <w:color w:val="auto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属中亚热带和南亚热带湿润气候，年均降水量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75</w:t>
            </w:r>
            <w:r>
              <w:rPr>
                <w:rFonts w:eastAsia="方正仿宋_GB2312" w:cs="方正仿宋_GB2312"/>
                <w:color w:val="auto"/>
                <w:kern w:val="0"/>
                <w:szCs w:val="21"/>
                <w:lang w:bidi="ar"/>
              </w:rPr>
              <w:t>0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~1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8</w:t>
            </w:r>
            <w:r>
              <w:rPr>
                <w:rFonts w:eastAsia="方正仿宋_GB2312" w:cs="方正仿宋_GB2312"/>
                <w:color w:val="auto"/>
                <w:kern w:val="0"/>
                <w:szCs w:val="21"/>
                <w:lang w:bidi="ar"/>
              </w:rPr>
              <w:t>00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毫米。地貌类型以中山、低山和丘陵等地貌为主。土壤以红壤和石灰土为主，成土母岩以难风化型为主，风化速率慢，成土能力低，土壤厚度小且分布不连续。本区有独特的岩溶生态系统和动植物资源，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具有重要的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水源涵养、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水土保持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和生物多样性保护功能。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5" w:hRule="atLeast"/>
        </w:trPr>
        <w:tc>
          <w:tcPr>
            <w:tcW w:w="850" w:type="dxa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3.11</w:t>
            </w:r>
          </w:p>
        </w:tc>
        <w:tc>
          <w:tcPr>
            <w:tcW w:w="887" w:type="dxa"/>
            <w:vMerge w:val="continue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</w:tc>
        <w:tc>
          <w:tcPr>
            <w:tcW w:w="1139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四川盆地</w:t>
            </w: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</w:tc>
        <w:tc>
          <w:tcPr>
            <w:tcW w:w="6197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属中亚热带湿润气候，年均降水量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78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0~1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5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00毫米。地貌类型以平原、丘陵、中山和低山等地貌为主。土壤以紫色土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水稻土为主，是全国紫色土分布最集中的区域，成土母岩以易风化型为主。</w:t>
            </w:r>
            <w:r>
              <w:rPr>
                <w:rFonts w:hint="eastAsia" w:eastAsia="方正仿宋_GB2312" w:cs="方正仿宋_GB2312"/>
                <w:color w:val="auto"/>
                <w:szCs w:val="21"/>
              </w:rPr>
              <w:t>本区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是中国西南重要的水稻、油菜籽产区，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具有重要的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农产品提供、水源涵养、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水土保持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功能。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4" w:hRule="atLeast"/>
        </w:trPr>
        <w:tc>
          <w:tcPr>
            <w:tcW w:w="850" w:type="dxa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3.12</w:t>
            </w:r>
          </w:p>
        </w:tc>
        <w:tc>
          <w:tcPr>
            <w:tcW w:w="887" w:type="dxa"/>
            <w:vMerge w:val="continue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</w:tc>
        <w:tc>
          <w:tcPr>
            <w:tcW w:w="1139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川西南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滇中高原</w:t>
            </w:r>
          </w:p>
          <w:p>
            <w:pPr>
              <w:widowControl/>
              <w:snapToGrid w:val="0"/>
              <w:spacing w:line="3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</w:tc>
        <w:tc>
          <w:tcPr>
            <w:tcW w:w="6197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属中亚热带湿润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气候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，年均降水量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55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0~1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7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00毫米。地貌类型以中山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低山等岩溶地貌为主。土壤以红壤、石灰土和黄棕壤为主，成土母岩以易风化型和难风化型为主。</w:t>
            </w:r>
            <w:r>
              <w:rPr>
                <w:rFonts w:hint="eastAsia" w:eastAsia="方正仿宋_GB2312" w:cs="方正仿宋_GB2312"/>
                <w:color w:val="auto"/>
                <w:szCs w:val="21"/>
              </w:rPr>
              <w:t>本区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具有重要的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水土保持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、固碳和生物多样性保护功能。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8" w:hRule="atLeast"/>
        </w:trPr>
        <w:tc>
          <w:tcPr>
            <w:tcW w:w="850" w:type="dxa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3.13</w:t>
            </w:r>
          </w:p>
        </w:tc>
        <w:tc>
          <w:tcPr>
            <w:tcW w:w="887" w:type="dxa"/>
            <w:vMerge w:val="continue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</w:tc>
        <w:tc>
          <w:tcPr>
            <w:tcW w:w="1139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滇西南</w:t>
            </w: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山地</w:t>
            </w: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</w:tc>
        <w:tc>
          <w:tcPr>
            <w:tcW w:w="6197" w:type="dxa"/>
            <w:noWrap w:val="0"/>
            <w:vAlign w:val="center"/>
          </w:tcPr>
          <w:p>
            <w:pPr>
              <w:snapToGrid w:val="0"/>
              <w:spacing w:line="300" w:lineRule="exact"/>
              <w:rPr>
                <w:rFonts w:hint="eastAsia" w:eastAsia="方正仿宋_GB2312" w:cs="方正仿宋_GB2312"/>
                <w:color w:val="auto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属南亚热带和边缘热带湿润气候，年均降水量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7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00~2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3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00毫米。地貌类型以中山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低山地貌为主。土壤以红壤为主，成土母岩以易风化型为主。</w:t>
            </w:r>
            <w:r>
              <w:rPr>
                <w:rFonts w:hint="eastAsia" w:eastAsia="方正仿宋_GB2312" w:cs="方正仿宋_GB2312"/>
                <w:color w:val="auto"/>
                <w:szCs w:val="21"/>
              </w:rPr>
              <w:t>本区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植被垂直分带性较为明显，生物多样性极为丰富，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具有重要的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水源涵养、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水土保持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、固碳和生物多样性保护功能。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5" w:hRule="atLeast"/>
        </w:trPr>
        <w:tc>
          <w:tcPr>
            <w:tcW w:w="850" w:type="dxa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4.1</w:t>
            </w:r>
          </w:p>
        </w:tc>
        <w:tc>
          <w:tcPr>
            <w:tcW w:w="887" w:type="dxa"/>
            <w:vMerge w:val="restart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auto"/>
              <w:rPr>
                <w:rFonts w:hint="eastAsia" w:ascii="Times New Roman" w:hAnsi="Times New Roman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方正仿宋_GB2312" w:cs="方正仿宋_GB2312"/>
                <w:color w:val="auto"/>
                <w:kern w:val="0"/>
                <w:szCs w:val="21"/>
                <w:lang w:bidi="ar"/>
              </w:rPr>
              <w:t>东南</w:t>
            </w:r>
          </w:p>
          <w:p>
            <w:pPr>
              <w:widowControl/>
              <w:snapToGrid w:val="0"/>
              <w:spacing w:line="300" w:lineRule="exact"/>
              <w:jc w:val="center"/>
              <w:textAlignment w:val="auto"/>
              <w:rPr>
                <w:rFonts w:eastAsia="方正仿宋_GB2312" w:cs="方正仿宋_GB2312"/>
                <w:color w:val="auto"/>
                <w:szCs w:val="21"/>
              </w:rPr>
            </w:pPr>
            <w:r>
              <w:rPr>
                <w:rFonts w:hint="eastAsia" w:ascii="Times New Roman" w:hAnsi="Times New Roman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</w:tc>
        <w:tc>
          <w:tcPr>
            <w:tcW w:w="1139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浙闽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赣东南</w:t>
            </w: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丘陵山地</w:t>
            </w: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</w:tc>
        <w:tc>
          <w:tcPr>
            <w:tcW w:w="6197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属中亚热带湿润气候，年均降水量1000~2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1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00毫米。地貌类型以低山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丘陵地貌为主。土壤以红壤为主，成土母岩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以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中等风化型为主。</w:t>
            </w:r>
            <w:r>
              <w:rPr>
                <w:rFonts w:hint="eastAsia" w:eastAsia="方正仿宋_GB2312" w:cs="方正仿宋_GB2312"/>
                <w:color w:val="auto"/>
                <w:szCs w:val="21"/>
              </w:rPr>
              <w:t>本区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具有重要的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水源涵养、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水土保持、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林产品提供和生物多样性保护功能。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8" w:hRule="atLeast"/>
        </w:trPr>
        <w:tc>
          <w:tcPr>
            <w:tcW w:w="850" w:type="dxa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4.2</w:t>
            </w: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</w:p>
        </w:tc>
        <w:tc>
          <w:tcPr>
            <w:tcW w:w="887" w:type="dxa"/>
            <w:vMerge w:val="continue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</w:tc>
        <w:tc>
          <w:tcPr>
            <w:tcW w:w="1139" w:type="dxa"/>
            <w:noWrap w:val="0"/>
            <w:vAlign w:val="center"/>
          </w:tcPr>
          <w:p>
            <w:pPr>
              <w:widowControl/>
              <w:snapToGrid w:val="0"/>
              <w:spacing w:line="29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两广丘陵</w:t>
            </w:r>
          </w:p>
          <w:p>
            <w:pPr>
              <w:widowControl/>
              <w:snapToGrid w:val="0"/>
              <w:spacing w:line="29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山地</w:t>
            </w:r>
          </w:p>
          <w:p>
            <w:pPr>
              <w:widowControl/>
              <w:snapToGrid w:val="0"/>
              <w:spacing w:line="29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</w:tc>
        <w:tc>
          <w:tcPr>
            <w:tcW w:w="6197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属南亚热带湿润气候，年均降水量1100~2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7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00毫米。地貌类型以低山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丘陵地貌为主。土壤以红壤为主，成土母岩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以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易风化型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中等风化型为主。</w:t>
            </w:r>
            <w:r>
              <w:rPr>
                <w:rFonts w:hint="eastAsia" w:eastAsia="方正仿宋_GB2312" w:cs="方正仿宋_GB2312"/>
                <w:color w:val="auto"/>
                <w:szCs w:val="21"/>
              </w:rPr>
              <w:t>本区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是珠江水系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东南诸河重要水源涵养区，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具有重要的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林产品提供、水源涵养、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水土保持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、固碳和生物多样性保护功能。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9" w:hRule="atLeast"/>
        </w:trPr>
        <w:tc>
          <w:tcPr>
            <w:tcW w:w="850" w:type="dxa"/>
            <w:noWrap/>
            <w:vAlign w:val="center"/>
          </w:tcPr>
          <w:p>
            <w:pPr>
              <w:widowControl/>
              <w:snapToGrid w:val="0"/>
              <w:spacing w:before="160" w:line="300" w:lineRule="exact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4.3</w:t>
            </w:r>
          </w:p>
        </w:tc>
        <w:tc>
          <w:tcPr>
            <w:tcW w:w="887" w:type="dxa"/>
            <w:vMerge w:val="continue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</w:tc>
        <w:tc>
          <w:tcPr>
            <w:tcW w:w="1139" w:type="dxa"/>
            <w:noWrap w:val="0"/>
            <w:vAlign w:val="center"/>
          </w:tcPr>
          <w:p>
            <w:pPr>
              <w:widowControl/>
              <w:snapToGrid w:val="0"/>
              <w:spacing w:before="60"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海南岛</w:t>
            </w:r>
          </w:p>
          <w:p>
            <w:pPr>
              <w:widowControl/>
              <w:snapToGrid w:val="0"/>
              <w:spacing w:before="60"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  <w:u w:val="single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</w:tc>
        <w:tc>
          <w:tcPr>
            <w:tcW w:w="6197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属边缘热带湿润气候，年均降水量1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5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00~2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3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00毫米。地貌类型以低山、丘陵、台地和平原等地貌为主。土壤以红壤为主，成土母岩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以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中等风化型为主。</w:t>
            </w:r>
            <w:r>
              <w:rPr>
                <w:rFonts w:hint="eastAsia" w:eastAsia="方正仿宋_GB2312" w:cs="方正仿宋_GB2312"/>
                <w:color w:val="auto"/>
                <w:szCs w:val="21"/>
              </w:rPr>
              <w:t>本区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以南热带季雨林、湿润雨林等森林生态系统为主，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具有重要的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水源涵养、固碳和生物多样性保护功能。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" w:hRule="atLeast"/>
        </w:trPr>
        <w:tc>
          <w:tcPr>
            <w:tcW w:w="850" w:type="dxa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color w:val="auto"/>
                <w:lang w:bidi="ar"/>
              </w:rPr>
            </w:pP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color w:val="auto"/>
                <w:lang w:bidi="ar"/>
              </w:rPr>
            </w:pP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  <w:lang w:bidi="ar"/>
              </w:rPr>
              <w:t>5</w:t>
            </w:r>
            <w:r>
              <w:rPr>
                <w:color w:val="auto"/>
                <w:lang w:bidi="ar"/>
              </w:rPr>
              <w:t>.</w:t>
            </w:r>
            <w:r>
              <w:rPr>
                <w:rFonts w:hint="eastAsia"/>
                <w:color w:val="auto"/>
                <w:lang w:bidi="ar"/>
              </w:rPr>
              <w:t>1</w:t>
            </w:r>
          </w:p>
          <w:p>
            <w:pPr>
              <w:snapToGrid w:val="0"/>
              <w:spacing w:line="300" w:lineRule="exact"/>
              <w:rPr>
                <w:color w:val="auto"/>
              </w:rPr>
            </w:pPr>
          </w:p>
          <w:p>
            <w:pPr>
              <w:pStyle w:val="2"/>
              <w:snapToGrid w:val="0"/>
              <w:spacing w:line="300" w:lineRule="exact"/>
              <w:ind w:firstLine="0" w:firstLineChars="0"/>
              <w:jc w:val="center"/>
              <w:rPr>
                <w:rFonts w:hint="eastAsia" w:ascii="Times New Roman" w:hAnsi="Times New Roman"/>
                <w:color w:val="auto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887" w:type="dxa"/>
            <w:vMerge w:val="restart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rPr>
                <w:rFonts w:hint="eastAsia" w:ascii="Times New Roman" w:hAnsi="Times New Roman" w:eastAsia="方正仿宋_GB2312" w:cs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pStyle w:val="2"/>
              <w:rPr>
                <w:rFonts w:hint="eastAsia" w:ascii="Times New Roman" w:hAnsi="Times New Roman" w:eastAsia="方正仿宋_GB2312" w:cs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pStyle w:val="2"/>
              <w:rPr>
                <w:rFonts w:hint="eastAsia" w:ascii="Times New Roman" w:hAnsi="Times New Roman" w:eastAsia="方正仿宋_GB2312" w:cs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pStyle w:val="2"/>
              <w:rPr>
                <w:rFonts w:hint="eastAsia" w:ascii="Times New Roman" w:hAnsi="Times New Roman" w:eastAsia="方正仿宋_GB2312" w:cs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pStyle w:val="2"/>
              <w:rPr>
                <w:rFonts w:hint="eastAsia" w:ascii="Times New Roman" w:hAnsi="Times New Roman" w:eastAsia="方正仿宋_GB2312" w:cs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pStyle w:val="2"/>
              <w:rPr>
                <w:rFonts w:hint="eastAsia" w:ascii="Times New Roman" w:hAnsi="Times New Roman" w:eastAsia="方正仿宋_GB2312" w:cs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pStyle w:val="2"/>
              <w:rPr>
                <w:rFonts w:hint="eastAsia" w:ascii="Times New Roman" w:hAnsi="Times New Roman" w:eastAsia="方正仿宋_GB2312" w:cs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pStyle w:val="2"/>
              <w:rPr>
                <w:rFonts w:hint="eastAsia" w:ascii="Times New Roman" w:hAnsi="Times New Roman" w:eastAsia="方正仿宋_GB2312" w:cs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 w:ascii="Times New Roman" w:hAnsi="Times New Roman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方正仿宋_GB2312" w:cs="方正仿宋_GB2312"/>
                <w:color w:val="auto"/>
                <w:kern w:val="0"/>
                <w:szCs w:val="21"/>
                <w:lang w:bidi="ar"/>
              </w:rPr>
              <w:t>青藏</w:t>
            </w: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 w:ascii="Times New Roman" w:hAnsi="Times New Roman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方正仿宋_GB2312" w:cs="方正仿宋_GB2312"/>
                <w:color w:val="auto"/>
                <w:kern w:val="0"/>
                <w:szCs w:val="21"/>
                <w:lang w:bidi="ar"/>
              </w:rPr>
              <w:t>高原</w:t>
            </w: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 w:ascii="Times New Roman" w:hAnsi="Times New Roman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  <w:p>
            <w:pPr>
              <w:widowControl/>
              <w:snapToGrid w:val="0"/>
              <w:spacing w:line="300" w:lineRule="exact"/>
            </w:pPr>
          </w:p>
          <w:p>
            <w:pPr>
              <w:pStyle w:val="2"/>
              <w:ind w:firstLine="480"/>
            </w:pPr>
          </w:p>
          <w:p>
            <w:pPr>
              <w:pStyle w:val="2"/>
              <w:ind w:firstLine="480"/>
            </w:pPr>
          </w:p>
          <w:p>
            <w:pPr>
              <w:pStyle w:val="2"/>
              <w:ind w:firstLine="480"/>
            </w:pPr>
          </w:p>
          <w:p>
            <w:pPr>
              <w:pStyle w:val="2"/>
              <w:ind w:firstLine="480"/>
            </w:pPr>
          </w:p>
          <w:p>
            <w:pPr>
              <w:pStyle w:val="2"/>
              <w:ind w:firstLine="480"/>
            </w:pPr>
          </w:p>
          <w:p>
            <w:pPr>
              <w:pStyle w:val="2"/>
              <w:ind w:firstLine="480"/>
            </w:pPr>
          </w:p>
          <w:p>
            <w:pPr>
              <w:pStyle w:val="2"/>
              <w:ind w:firstLine="480"/>
            </w:pPr>
          </w:p>
          <w:p>
            <w:pPr>
              <w:pStyle w:val="2"/>
              <w:ind w:firstLine="480"/>
            </w:pPr>
          </w:p>
          <w:p>
            <w:pPr>
              <w:pStyle w:val="2"/>
              <w:ind w:firstLine="480"/>
            </w:pPr>
          </w:p>
          <w:p>
            <w:pPr>
              <w:pStyle w:val="2"/>
              <w:ind w:firstLine="480"/>
            </w:pPr>
          </w:p>
          <w:p>
            <w:pPr>
              <w:pStyle w:val="2"/>
              <w:ind w:firstLine="480"/>
            </w:pPr>
          </w:p>
          <w:p>
            <w:pPr>
              <w:pStyle w:val="2"/>
              <w:ind w:firstLine="480"/>
            </w:pPr>
          </w:p>
          <w:p>
            <w:pPr>
              <w:pStyle w:val="2"/>
              <w:ind w:firstLine="480"/>
            </w:pPr>
          </w:p>
          <w:p>
            <w:pPr>
              <w:widowControl/>
              <w:snapToGrid w:val="0"/>
              <w:spacing w:line="300" w:lineRule="exact"/>
              <w:jc w:val="center"/>
            </w:pPr>
          </w:p>
          <w:p>
            <w:pPr>
              <w:widowControl/>
              <w:snapToGrid w:val="0"/>
              <w:spacing w:line="300" w:lineRule="exact"/>
              <w:jc w:val="center"/>
              <w:rPr>
                <w:rFonts w:ascii="Times New Roman" w:hAnsi="Times New Roman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方正仿宋_GB2312" w:cs="方正仿宋_GB2312"/>
                <w:color w:val="auto"/>
                <w:kern w:val="0"/>
                <w:szCs w:val="21"/>
                <w:lang w:bidi="ar"/>
              </w:rPr>
              <w:t>青藏</w:t>
            </w:r>
          </w:p>
          <w:p>
            <w:pPr>
              <w:widowControl/>
              <w:snapToGrid w:val="0"/>
              <w:spacing w:line="300" w:lineRule="exact"/>
              <w:jc w:val="center"/>
              <w:rPr>
                <w:rFonts w:ascii="Times New Roman" w:hAnsi="Times New Roman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方正仿宋_GB2312" w:cs="方正仿宋_GB2312"/>
                <w:color w:val="auto"/>
                <w:kern w:val="0"/>
                <w:szCs w:val="21"/>
                <w:lang w:bidi="ar"/>
              </w:rPr>
              <w:t>高原</w:t>
            </w:r>
          </w:p>
          <w:p>
            <w:pPr>
              <w:widowControl/>
              <w:snapToGrid w:val="0"/>
              <w:spacing w:line="300" w:lineRule="exact"/>
              <w:jc w:val="center"/>
            </w:pPr>
            <w:r>
              <w:rPr>
                <w:rFonts w:ascii="Times New Roman" w:hAnsi="Times New Roman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  <w:p>
            <w:pPr>
              <w:widowControl/>
              <w:snapToGrid w:val="0"/>
              <w:spacing w:line="300" w:lineRule="exact"/>
              <w:jc w:val="center"/>
              <w:rPr>
                <w:rFonts w:eastAsia="方正仿宋_GB2312" w:cs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snapToGrid w:val="0"/>
              <w:spacing w:line="300" w:lineRule="exact"/>
              <w:jc w:val="center"/>
              <w:rPr>
                <w:rFonts w:eastAsia="方正仿宋_GB2312" w:cs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snapToGrid w:val="0"/>
              <w:spacing w:line="300" w:lineRule="exact"/>
              <w:jc w:val="center"/>
              <w:rPr>
                <w:rFonts w:eastAsia="方正仿宋_GB2312" w:cs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snapToGrid w:val="0"/>
              <w:spacing w:line="300" w:lineRule="exact"/>
              <w:jc w:val="center"/>
              <w:rPr>
                <w:rFonts w:eastAsia="方正仿宋_GB2312" w:cs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pStyle w:val="2"/>
              <w:ind w:firstLine="0" w:firstLineChars="0"/>
              <w:rPr>
                <w:rFonts w:hint="eastAsia"/>
              </w:rPr>
            </w:pPr>
          </w:p>
        </w:tc>
        <w:tc>
          <w:tcPr>
            <w:tcW w:w="1139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喀喇</w:t>
            </w: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昆仑山</w:t>
            </w: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</w:tc>
        <w:tc>
          <w:tcPr>
            <w:tcW w:w="6197" w:type="dxa"/>
            <w:noWrap w:val="0"/>
            <w:vAlign w:val="center"/>
          </w:tcPr>
          <w:p>
            <w:pPr>
              <w:widowControl/>
              <w:snapToGrid w:val="0"/>
              <w:spacing w:line="310" w:lineRule="exact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属高原亚寒带干旱气候，年均降水量30~1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0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0毫米。地貌类型以高山、极高山地貌为主，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是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世界山岳冰川最发达的地区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之一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，并发育连片多年冻土，土壤类型以寒冻土为主，成土母岩</w:t>
            </w:r>
            <w:r>
              <w:rPr>
                <w:rFonts w:hint="default" w:eastAsia="方正仿宋_GB2312" w:cs="方正仿宋_GB2312"/>
                <w:color w:val="auto"/>
                <w:kern w:val="0"/>
                <w:szCs w:val="21"/>
                <w:lang w:val="en-US" w:bidi="ar"/>
              </w:rPr>
              <w:t>以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难风化型为主，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具有重要的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水源涵养和生物多样性保护功能。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4" w:hRule="atLeast"/>
        </w:trPr>
        <w:tc>
          <w:tcPr>
            <w:tcW w:w="850" w:type="dxa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5.2</w:t>
            </w:r>
          </w:p>
        </w:tc>
        <w:tc>
          <w:tcPr>
            <w:tcW w:w="887" w:type="dxa"/>
            <w:vMerge w:val="continue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</w:tc>
        <w:tc>
          <w:tcPr>
            <w:tcW w:w="1139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昆仑山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阿尔金山</w:t>
            </w: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</w:tc>
        <w:tc>
          <w:tcPr>
            <w:tcW w:w="6197" w:type="dxa"/>
            <w:noWrap w:val="0"/>
            <w:vAlign w:val="center"/>
          </w:tcPr>
          <w:p>
            <w:pPr>
              <w:snapToGrid w:val="0"/>
              <w:spacing w:line="300" w:lineRule="exact"/>
              <w:rPr>
                <w:rFonts w:hint="eastAsia" w:eastAsia="方正仿宋_GB2312" w:cs="方正仿宋_GB2312"/>
                <w:color w:val="auto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属高原亚寒带干旱半干旱气候，年均降水量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2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0~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2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00毫米。地貌类型以高山地貌为主。土壤以</w:t>
            </w:r>
            <w:r>
              <w:rPr>
                <w:rFonts w:hint="default" w:ascii="Times New Roman" w:hAnsi="Times New Roman" w:eastAsia="方正仿宋_GB2312" w:cs="方正仿宋_GB2312"/>
                <w:color w:val="000000"/>
                <w:kern w:val="0"/>
                <w:szCs w:val="21"/>
                <w:lang w:bidi="ar"/>
              </w:rPr>
              <w:t>寒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钙土为主，成土母岩以中等风化型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难风化型为主。</w:t>
            </w:r>
            <w:r>
              <w:rPr>
                <w:rFonts w:hint="eastAsia" w:eastAsia="方正仿宋_GB2312" w:cs="方正仿宋_GB2312"/>
                <w:color w:val="auto"/>
                <w:szCs w:val="21"/>
              </w:rPr>
              <w:t>本区高原自然生态系统完整，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拥有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野牦牛、藏羚羊、藏野驴等珍稀动物资源，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具有重要的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生物多样性保护功能。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850" w:type="dxa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5.3</w:t>
            </w:r>
          </w:p>
        </w:tc>
        <w:tc>
          <w:tcPr>
            <w:tcW w:w="887" w:type="dxa"/>
            <w:vMerge w:val="continue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</w:tc>
        <w:tc>
          <w:tcPr>
            <w:tcW w:w="1139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柴达木</w:t>
            </w: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盆地</w:t>
            </w: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</w:tc>
        <w:tc>
          <w:tcPr>
            <w:tcW w:w="6197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属高原温带干旱气候，年均降水量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2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0~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3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00毫米。地貌类型以高原盆地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和高原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地貌为主。土壤类型以风沙土为主，成土母质</w:t>
            </w:r>
            <w:r>
              <w:rPr>
                <w:rFonts w:hint="default" w:eastAsia="方正仿宋_GB2312" w:cs="方正仿宋_GB2312"/>
                <w:color w:val="auto"/>
                <w:kern w:val="0"/>
                <w:szCs w:val="21"/>
                <w:lang w:val="en-US" w:bidi="ar"/>
              </w:rPr>
              <w:t>以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松散堆积型为主。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kern w:val="0"/>
                <w:szCs w:val="21"/>
                <w:lang w:eastAsia="zh-CN" w:bidi="ar"/>
              </w:rPr>
              <w:t>本区腹地柴达木盆地沙漠是中国第五大沙漠，</w:t>
            </w:r>
            <w:r>
              <w:rPr>
                <w:rFonts w:hint="eastAsia" w:ascii="Times New Roman" w:hAnsi="Times New Roman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具有重要的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防风固沙功能。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3" w:hRule="atLeast"/>
        </w:trPr>
        <w:tc>
          <w:tcPr>
            <w:tcW w:w="850" w:type="dxa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5.4</w:t>
            </w:r>
          </w:p>
        </w:tc>
        <w:tc>
          <w:tcPr>
            <w:tcW w:w="887" w:type="dxa"/>
            <w:vMerge w:val="continue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</w:tc>
        <w:tc>
          <w:tcPr>
            <w:tcW w:w="1139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祁连山</w:t>
            </w: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</w:tc>
        <w:tc>
          <w:tcPr>
            <w:tcW w:w="6197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属高原温带干旱半干旱气候，年均降水量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300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~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5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00毫米。地貌类型以高山、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高原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盆地地貌为主。土壤主要以</w:t>
            </w:r>
            <w:r>
              <w:rPr>
                <w:rFonts w:hint="default" w:ascii="Times New Roman" w:hAnsi="Times New Roman" w:eastAsia="方正仿宋_GB2312" w:cs="方正仿宋_GB2312"/>
                <w:color w:val="000000"/>
                <w:kern w:val="0"/>
                <w:szCs w:val="21"/>
                <w:lang w:bidi="ar"/>
              </w:rPr>
              <w:t>冷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钙土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default" w:ascii="Times New Roman" w:hAnsi="Times New Roman" w:eastAsia="方正仿宋_GB2312" w:cs="方正仿宋_GB2312"/>
                <w:color w:val="000000"/>
                <w:kern w:val="0"/>
                <w:szCs w:val="21"/>
                <w:lang w:bidi="ar"/>
              </w:rPr>
              <w:t>寒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钙土为主，成土母岩</w:t>
            </w:r>
            <w:r>
              <w:rPr>
                <w:rFonts w:hint="default" w:eastAsia="方正仿宋_GB2312" w:cs="方正仿宋_GB2312"/>
                <w:color w:val="auto"/>
                <w:kern w:val="0"/>
                <w:szCs w:val="21"/>
                <w:lang w:val="en-US" w:bidi="ar"/>
              </w:rPr>
              <w:t>以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易风化型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难风化型为主。本区共有冰川3066条、冰川储量达1145亿立方米，是河西走廊绿洲生成的水源基础，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具有重要的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水源涵养、生物多样性保护、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水土保持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和防风固沙功能。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7" w:hRule="atLeast"/>
        </w:trPr>
        <w:tc>
          <w:tcPr>
            <w:tcW w:w="850" w:type="dxa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5.5</w:t>
            </w:r>
          </w:p>
        </w:tc>
        <w:tc>
          <w:tcPr>
            <w:tcW w:w="887" w:type="dxa"/>
            <w:vMerge w:val="continue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</w:tc>
        <w:tc>
          <w:tcPr>
            <w:tcW w:w="1139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三江源</w:t>
            </w: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</w:tc>
        <w:tc>
          <w:tcPr>
            <w:tcW w:w="6197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属高原亚寒带半干旱半湿润气候，年均降水量2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6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0~7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6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0毫米。地貌类型以高山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高原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地貌为主。土壤以寒冻土、</w:t>
            </w:r>
            <w:r>
              <w:rPr>
                <w:rFonts w:hint="default" w:ascii="Times New Roman" w:hAnsi="Times New Roman" w:eastAsia="方正仿宋_GB2312" w:cs="方正仿宋_GB2312"/>
                <w:color w:val="000000"/>
                <w:kern w:val="0"/>
                <w:szCs w:val="21"/>
                <w:lang w:bidi="ar"/>
              </w:rPr>
              <w:t>寒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钙土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草毡土为主，成土母岩以易风化型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难风化型为主。</w:t>
            </w:r>
            <w:r>
              <w:rPr>
                <w:rFonts w:hint="eastAsia" w:eastAsia="方正仿宋_GB2312" w:cs="方正仿宋_GB2312"/>
                <w:color w:val="auto"/>
                <w:szCs w:val="21"/>
              </w:rPr>
              <w:t>本区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是长江、黄河、澜沧江的发源地，有“中华水塔”之称，是全球大江大河、冰川、雪山、冻土及高原生物多样性最集中的地区之一，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具有重要的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水源涵养、生物多样性保护和防风固沙功能。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7" w:hRule="atLeast"/>
        </w:trPr>
        <w:tc>
          <w:tcPr>
            <w:tcW w:w="850" w:type="dxa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5.6</w:t>
            </w:r>
          </w:p>
        </w:tc>
        <w:tc>
          <w:tcPr>
            <w:tcW w:w="887" w:type="dxa"/>
            <w:vMerge w:val="continue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</w:tc>
        <w:tc>
          <w:tcPr>
            <w:tcW w:w="1139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横断山</w:t>
            </w: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</w:tc>
        <w:tc>
          <w:tcPr>
            <w:tcW w:w="6197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szCs w:val="21"/>
              </w:rPr>
              <w:t>属高原温带湿润半湿润气候，年均降水量</w:t>
            </w:r>
            <w:r>
              <w:rPr>
                <w:rFonts w:hint="eastAsia" w:eastAsia="方正仿宋_GB2312" w:cs="方正仿宋_GB2312"/>
                <w:color w:val="auto"/>
                <w:szCs w:val="21"/>
                <w:lang w:val="en-US" w:eastAsia="zh-CN"/>
              </w:rPr>
              <w:t>25</w:t>
            </w:r>
            <w:r>
              <w:rPr>
                <w:rFonts w:hint="eastAsia" w:eastAsia="方正仿宋_GB2312" w:cs="方正仿宋_GB2312"/>
                <w:color w:val="auto"/>
                <w:szCs w:val="21"/>
              </w:rPr>
              <w:t>0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~1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7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00</w:t>
            </w:r>
            <w:r>
              <w:rPr>
                <w:rFonts w:hint="eastAsia" w:eastAsia="方正仿宋_GB2312" w:cs="方正仿宋_GB2312"/>
                <w:color w:val="auto"/>
                <w:szCs w:val="21"/>
              </w:rPr>
              <w:t>毫米。地貌类型以中高山</w:t>
            </w:r>
            <w:r>
              <w:rPr>
                <w:rFonts w:hint="eastAsia" w:eastAsia="方正仿宋_GB2312" w:cs="方正仿宋_GB2312"/>
                <w:color w:val="auto"/>
                <w:szCs w:val="21"/>
                <w:lang w:eastAsia="zh-CN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szCs w:val="21"/>
              </w:rPr>
              <w:t>峡谷地貌为主。土壤以草毡土</w:t>
            </w:r>
            <w:r>
              <w:rPr>
                <w:rFonts w:hint="eastAsia" w:eastAsia="方正仿宋_GB2312" w:cs="方正仿宋_GB2312"/>
                <w:color w:val="auto"/>
                <w:szCs w:val="21"/>
                <w:lang w:eastAsia="zh-CN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szCs w:val="21"/>
              </w:rPr>
              <w:t>寒冻土为主，成土母岩以易风化型为主。本区是长江上游重要水源地，是世界瞩目的生物基因库，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具有重要的</w:t>
            </w:r>
            <w:r>
              <w:rPr>
                <w:rFonts w:hint="eastAsia" w:eastAsia="方正仿宋_GB2312" w:cs="方正仿宋_GB2312"/>
                <w:color w:val="auto"/>
                <w:szCs w:val="21"/>
              </w:rPr>
              <w:t>水源涵养、生物多样性保护、</w:t>
            </w:r>
            <w:r>
              <w:rPr>
                <w:rFonts w:hint="eastAsia" w:eastAsia="方正仿宋_GB2312" w:cs="方正仿宋_GB2312"/>
                <w:color w:val="auto"/>
                <w:szCs w:val="21"/>
                <w:lang w:eastAsia="zh-CN"/>
              </w:rPr>
              <w:t>水土保持</w:t>
            </w:r>
            <w:r>
              <w:rPr>
                <w:rFonts w:hint="eastAsia" w:eastAsia="方正仿宋_GB2312" w:cs="方正仿宋_GB2312"/>
                <w:color w:val="auto"/>
                <w:szCs w:val="21"/>
              </w:rPr>
              <w:t>和固碳功能。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1" w:hRule="atLeast"/>
        </w:trPr>
        <w:tc>
          <w:tcPr>
            <w:tcW w:w="850" w:type="dxa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5.7</w:t>
            </w:r>
          </w:p>
        </w:tc>
        <w:tc>
          <w:tcPr>
            <w:tcW w:w="887" w:type="dxa"/>
            <w:vMerge w:val="continue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</w:tc>
        <w:tc>
          <w:tcPr>
            <w:tcW w:w="1139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藏东南</w:t>
            </w: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高原</w:t>
            </w: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</w:tc>
        <w:tc>
          <w:tcPr>
            <w:tcW w:w="6197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属高原温带湿润半湿润气候，年均降水量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53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0~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88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0毫米。地貌类型以中高山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峡谷地貌为主。土壤以红壤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暗棕壤为主，成土母岩以易风化型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中等风化型为主。</w:t>
            </w:r>
            <w:r>
              <w:rPr>
                <w:rFonts w:hint="eastAsia" w:eastAsia="方正仿宋_GB2312" w:cs="方正仿宋_GB2312"/>
                <w:color w:val="auto"/>
                <w:szCs w:val="21"/>
              </w:rPr>
              <w:t>本区是我国乃至全世界山地生物多样性最丰富的地区之一，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植被垂直地带性非常明显，森林生态系统不仅类型多样，而且分布面积大，生态系统原始性和完整性较好，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具有重要的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水源涵养、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水土保持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、生物多样性保护和固碳功能。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7" w:hRule="atLeast"/>
        </w:trPr>
        <w:tc>
          <w:tcPr>
            <w:tcW w:w="850" w:type="dxa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5.8</w:t>
            </w:r>
          </w:p>
        </w:tc>
        <w:tc>
          <w:tcPr>
            <w:tcW w:w="887" w:type="dxa"/>
            <w:vMerge w:val="continue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</w:tc>
        <w:tc>
          <w:tcPr>
            <w:tcW w:w="1139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pacing w:val="-17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pacing w:val="-17"/>
                <w:kern w:val="0"/>
                <w:szCs w:val="21"/>
                <w:lang w:bidi="ar"/>
              </w:rPr>
              <w:t>喜马拉雅山</w:t>
            </w: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</w:tc>
        <w:tc>
          <w:tcPr>
            <w:tcW w:w="6197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属高原温带干旱和高原亚寒带半干旱气候，年均降水量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150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~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6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00毫米。地貌类型以高山、极高山和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高原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盆地等地貌为主，大量冰川分布于高山和极高山区域。土壤以寒冻土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default" w:ascii="Times New Roman" w:hAnsi="Times New Roman" w:eastAsia="方正仿宋_GB2312" w:cs="方正仿宋_GB2312"/>
                <w:color w:val="000000"/>
                <w:kern w:val="0"/>
                <w:szCs w:val="21"/>
                <w:lang w:bidi="ar"/>
              </w:rPr>
              <w:t>寒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钙土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草甸土为主，成土母岩以易风化型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中等风化型为主。区内雅鲁藏布江河谷为西藏重要的农业区，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具有重要的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水源涵养、防风固沙、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水土保持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和农产品提供功能。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850" w:type="dxa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5.9</w:t>
            </w:r>
          </w:p>
        </w:tc>
        <w:tc>
          <w:tcPr>
            <w:tcW w:w="887" w:type="dxa"/>
            <w:vMerge w:val="continue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</w:tc>
        <w:tc>
          <w:tcPr>
            <w:tcW w:w="1139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羌塘高原</w:t>
            </w: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</w:tc>
        <w:tc>
          <w:tcPr>
            <w:tcW w:w="6197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属高原亚寒带半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干旱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干旱气候，年均降水量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7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0~4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6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0毫米。地貌类型以高原、高山和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高原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盆地等地貌为主，多年冻土广泛分布，是我国最大现代冰川分布区。土壤类型以</w:t>
            </w:r>
            <w:r>
              <w:rPr>
                <w:rFonts w:hint="default" w:ascii="Times New Roman" w:hAnsi="Times New Roman" w:eastAsia="方正仿宋_GB2312" w:cs="方正仿宋_GB2312"/>
                <w:color w:val="000000"/>
                <w:kern w:val="0"/>
                <w:szCs w:val="21"/>
                <w:lang w:bidi="ar"/>
              </w:rPr>
              <w:t>寒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钙土为主，成土母岩以易风化型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难风化型为主。</w:t>
            </w:r>
            <w:r>
              <w:rPr>
                <w:rFonts w:hint="eastAsia" w:eastAsia="方正仿宋_GB2312" w:cs="方正仿宋_GB2312"/>
                <w:color w:val="auto"/>
                <w:szCs w:val="21"/>
              </w:rPr>
              <w:t>本区是世界上海拔最高的内陆湖区，</w:t>
            </w:r>
            <w:r>
              <w:rPr>
                <w:rFonts w:hint="eastAsia" w:eastAsia="方正仿宋_GB2312" w:cs="方正仿宋_GB2312"/>
                <w:color w:val="auto"/>
                <w:szCs w:val="21"/>
                <w:lang w:eastAsia="zh-CN"/>
              </w:rPr>
              <w:t>高原野生动物资源较为丰富</w:t>
            </w:r>
            <w:r>
              <w:rPr>
                <w:rFonts w:hint="eastAsia" w:eastAsia="方正仿宋_GB2312" w:cs="方正仿宋_GB2312"/>
                <w:color w:val="auto"/>
                <w:szCs w:val="21"/>
              </w:rPr>
              <w:t>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具有重要的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生物多样性保护功能。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4" w:hRule="atLeast"/>
        </w:trPr>
        <w:tc>
          <w:tcPr>
            <w:tcW w:w="850" w:type="dxa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</w:rPr>
              <w:t>6.1</w:t>
            </w:r>
          </w:p>
        </w:tc>
        <w:tc>
          <w:tcPr>
            <w:tcW w:w="887" w:type="dxa"/>
            <w:vMerge w:val="restart"/>
            <w:noWrap w:val="0"/>
            <w:vAlign w:val="center"/>
          </w:tcPr>
          <w:p>
            <w:pPr>
              <w:widowControl/>
              <w:snapToGrid w:val="0"/>
              <w:spacing w:line="240" w:lineRule="exact"/>
              <w:jc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  <w:p>
            <w:pPr>
              <w:pStyle w:val="2"/>
              <w:rPr>
                <w:rFonts w:hint="eastAsia" w:eastAsia="方正仿宋_GB2312" w:cs="方正仿宋_GB2312"/>
                <w:color w:val="auto"/>
                <w:szCs w:val="21"/>
              </w:rPr>
            </w:pPr>
          </w:p>
          <w:p>
            <w:pPr>
              <w:pStyle w:val="2"/>
              <w:rPr>
                <w:rFonts w:hint="eastAsia" w:eastAsia="方正仿宋_GB2312" w:cs="方正仿宋_GB2312"/>
                <w:color w:val="auto"/>
                <w:szCs w:val="21"/>
              </w:rPr>
            </w:pPr>
          </w:p>
          <w:p>
            <w:pPr>
              <w:pStyle w:val="2"/>
              <w:rPr>
                <w:rFonts w:hint="eastAsia" w:eastAsia="方正仿宋_GB2312" w:cs="方正仿宋_GB2312"/>
                <w:color w:val="auto"/>
                <w:szCs w:val="21"/>
              </w:rPr>
            </w:pPr>
          </w:p>
          <w:p>
            <w:pPr>
              <w:pStyle w:val="2"/>
              <w:rPr>
                <w:rFonts w:hint="eastAsia" w:eastAsia="方正仿宋_GB2312" w:cs="方正仿宋_GB2312"/>
                <w:color w:val="auto"/>
                <w:szCs w:val="21"/>
              </w:rPr>
            </w:pPr>
          </w:p>
          <w:p>
            <w:pPr>
              <w:widowControl/>
              <w:snapToGrid w:val="0"/>
              <w:spacing w:line="180" w:lineRule="exact"/>
              <w:jc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 w:eastAsia="方正仿宋_GB2312" w:cs="方正仿宋_GB2312"/>
                <w:color w:val="auto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szCs w:val="21"/>
              </w:rPr>
              <w:t>西北</w:t>
            </w: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 w:eastAsia="方正仿宋_GB2312" w:cs="方正仿宋_GB2312"/>
                <w:color w:val="auto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szCs w:val="21"/>
              </w:rPr>
              <w:t>生态区</w:t>
            </w: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  <w:p>
            <w:pPr>
              <w:pStyle w:val="2"/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</w:pP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  <w:p>
            <w:pPr>
              <w:pStyle w:val="2"/>
              <w:rPr>
                <w:rFonts w:hint="eastAsia" w:eastAsia="方正仿宋_GB2312" w:cs="方正仿宋_GB2312"/>
                <w:color w:val="auto"/>
                <w:szCs w:val="21"/>
              </w:rPr>
            </w:pPr>
          </w:p>
          <w:p>
            <w:pPr>
              <w:pStyle w:val="2"/>
              <w:rPr>
                <w:rFonts w:hint="eastAsia" w:eastAsia="方正仿宋_GB2312" w:cs="方正仿宋_GB2312"/>
                <w:color w:val="auto"/>
                <w:szCs w:val="21"/>
              </w:rPr>
            </w:pPr>
          </w:p>
          <w:p>
            <w:pPr>
              <w:pStyle w:val="2"/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</w:pPr>
          </w:p>
          <w:p>
            <w:pPr>
              <w:pStyle w:val="2"/>
              <w:rPr>
                <w:rFonts w:hint="eastAsia" w:ascii="Times New Roman" w:hAnsi="Times New Roman" w:eastAsia="方正仿宋_GB2312" w:cs="方正仿宋_GB2312"/>
                <w:color w:val="auto"/>
                <w:sz w:val="21"/>
                <w:szCs w:val="21"/>
              </w:rPr>
            </w:pPr>
          </w:p>
          <w:p>
            <w:pPr>
              <w:widowControl/>
              <w:snapToGrid w:val="0"/>
              <w:spacing w:line="300" w:lineRule="exact"/>
              <w:jc w:val="both"/>
              <w:rPr>
                <w:rFonts w:hint="eastAsia" w:eastAsia="方正仿宋_GB2312" w:cs="方正仿宋_GB2312"/>
                <w:color w:val="auto"/>
                <w:szCs w:val="21"/>
              </w:rPr>
            </w:pP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 w:eastAsia="方正仿宋_GB2312" w:cs="方正仿宋_GB2312"/>
                <w:color w:val="auto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szCs w:val="21"/>
              </w:rPr>
              <w:t>西北</w:t>
            </w: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 w:eastAsia="方正仿宋_GB2312" w:cs="方正仿宋_GB2312"/>
                <w:color w:val="auto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szCs w:val="21"/>
              </w:rPr>
              <w:t>生态区</w:t>
            </w:r>
          </w:p>
          <w:p>
            <w:pPr>
              <w:widowControl/>
              <w:snapToGrid w:val="0"/>
              <w:spacing w:line="300" w:lineRule="exact"/>
              <w:rPr>
                <w:rFonts w:ascii="仿宋" w:hAnsi="仿宋" w:eastAsia="仿宋" w:cs="仿宋"/>
                <w:color w:val="auto"/>
                <w:kern w:val="0"/>
                <w:szCs w:val="21"/>
                <w:lang w:bidi="ar"/>
              </w:rPr>
            </w:pPr>
          </w:p>
        </w:tc>
        <w:tc>
          <w:tcPr>
            <w:tcW w:w="1139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pacing w:val="-17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pacing w:val="-17"/>
                <w:kern w:val="0"/>
                <w:szCs w:val="21"/>
                <w:lang w:bidi="ar"/>
              </w:rPr>
              <w:t>内蒙古高原</w:t>
            </w: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东部</w:t>
            </w: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</w:tc>
        <w:tc>
          <w:tcPr>
            <w:tcW w:w="6197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属中温带干旱半干旱气候，年均降水量100~4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8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0毫米。地貌类型以中山和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高原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地貌为主。土壤以栗钙土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风沙土为主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成土母岩（质）以松散堆积型、易风化型和中等风化型为主。</w:t>
            </w:r>
            <w:r>
              <w:rPr>
                <w:rFonts w:hint="eastAsia" w:eastAsia="方正仿宋_GB2312" w:cs="方正仿宋_GB2312"/>
                <w:color w:val="auto"/>
                <w:szCs w:val="21"/>
              </w:rPr>
              <w:t>本区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是我国主要的农</w:t>
            </w:r>
            <w:r>
              <w:rPr>
                <w:rFonts w:hint="default" w:ascii="Times New Roman" w:hAnsi="Times New Roman" w:eastAsia="方正仿宋_GB2312" w:cs="方正仿宋_GB2312"/>
                <w:color w:val="000000"/>
                <w:kern w:val="0"/>
                <w:szCs w:val="21"/>
                <w:lang w:bidi="ar"/>
              </w:rPr>
              <w:t>草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生态系统过渡带，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具有重要的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防风固沙、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水土保持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和水源涵养等功能。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4" w:hRule="atLeast"/>
        </w:trPr>
        <w:tc>
          <w:tcPr>
            <w:tcW w:w="850" w:type="dxa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6.2</w:t>
            </w:r>
          </w:p>
        </w:tc>
        <w:tc>
          <w:tcPr>
            <w:tcW w:w="887" w:type="dxa"/>
            <w:vMerge w:val="continue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</w:tc>
        <w:tc>
          <w:tcPr>
            <w:tcW w:w="1139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  <w:t>阿拉善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  <w:t>河西走廊</w:t>
            </w: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  <w:t>生态区</w:t>
            </w:r>
          </w:p>
        </w:tc>
        <w:tc>
          <w:tcPr>
            <w:tcW w:w="6197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属中温带干旱气候，年均降水量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4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0~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36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0毫米。地貌类型以丘陵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戈壁地貌为主。土壤以灰漠土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风沙土为主，成土母质</w:t>
            </w:r>
            <w:r>
              <w:rPr>
                <w:rFonts w:hint="eastAsia" w:eastAsia="方正仿宋_GB2312" w:cs="方正仿宋_GB2312"/>
                <w:color w:val="auto"/>
                <w:szCs w:val="21"/>
                <w:lang w:val="en-US" w:eastAsia="zh-CN"/>
              </w:rPr>
              <w:t>以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松散堆积型为主，是我国北方沙尘暴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的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发源地之一。</w:t>
            </w:r>
            <w:r>
              <w:rPr>
                <w:rFonts w:hint="eastAsia" w:eastAsia="方正仿宋_GB2312" w:cs="方正仿宋_GB2312"/>
                <w:color w:val="auto"/>
                <w:szCs w:val="21"/>
              </w:rPr>
              <w:t>本区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沿河分布的湿地、草地呈斑块状镶嵌于荒漠之中，是阻隔沙地扩张的重要屏障，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具有重要的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防风固沙和农产品提供功能。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7" w:hRule="atLeast"/>
        </w:trPr>
        <w:tc>
          <w:tcPr>
            <w:tcW w:w="850" w:type="dxa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6.3</w:t>
            </w:r>
          </w:p>
        </w:tc>
        <w:tc>
          <w:tcPr>
            <w:tcW w:w="887" w:type="dxa"/>
            <w:vMerge w:val="continue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</w:tc>
        <w:tc>
          <w:tcPr>
            <w:tcW w:w="1139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北山</w:t>
            </w: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</w:tc>
        <w:tc>
          <w:tcPr>
            <w:tcW w:w="6197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属中温带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暖温带干旱气候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，年均降水量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3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0~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10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0毫米。地貌类型以中山、低山和戈壁地貌为主。土壤以灰棕漠土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棕漠土为主，成土母岩以中等风化型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难风化型为主。本区地表植被极为稀疏，属于沙漠化极敏感和防风固沙极重要区域，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具有重要的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防风固沙和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水土保持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功能。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1" w:hRule="atLeast"/>
        </w:trPr>
        <w:tc>
          <w:tcPr>
            <w:tcW w:w="850" w:type="dxa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6.4</w:t>
            </w:r>
          </w:p>
        </w:tc>
        <w:tc>
          <w:tcPr>
            <w:tcW w:w="887" w:type="dxa"/>
            <w:vMerge w:val="continue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</w:tc>
        <w:tc>
          <w:tcPr>
            <w:tcW w:w="1139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阿尔泰山</w:t>
            </w: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</w:tc>
        <w:tc>
          <w:tcPr>
            <w:tcW w:w="6197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属中温带干旱半干旱气候，年均降水量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3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0~220毫米。地貌类型以高山、中山、丘陵和山前平原地貌为主。本区土壤以高山土、干旱土和漠土为主，成土母岩以易风化型、中等风化型和难风化型为主。</w:t>
            </w:r>
            <w:r>
              <w:rPr>
                <w:rFonts w:hint="eastAsia" w:eastAsia="方正仿宋_GB2312" w:cs="方正仿宋_GB2312"/>
                <w:color w:val="auto"/>
                <w:szCs w:val="21"/>
              </w:rPr>
              <w:t>本区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发育冰川和多年冻土，拥有中国最低的雪线，是额尔齐斯河和乌伦古河等河流的发源地，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具有重要的水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源涵养和生物多样性保护功能。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9" w:hRule="atLeast"/>
        </w:trPr>
        <w:tc>
          <w:tcPr>
            <w:tcW w:w="850" w:type="dxa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6.5</w:t>
            </w:r>
          </w:p>
        </w:tc>
        <w:tc>
          <w:tcPr>
            <w:tcW w:w="887" w:type="dxa"/>
            <w:vMerge w:val="continue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</w:tc>
        <w:tc>
          <w:tcPr>
            <w:tcW w:w="1139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  <w:t>准噶尔</w:t>
            </w: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  <w:t>盆地</w:t>
            </w:r>
          </w:p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  <w:t>生态区</w:t>
            </w:r>
          </w:p>
        </w:tc>
        <w:tc>
          <w:tcPr>
            <w:tcW w:w="6197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属中温带干旱气候，年均降水量10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0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~3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5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0毫米，降水</w:t>
            </w:r>
            <w:r>
              <w:rPr>
                <w:rFonts w:hint="default" w:ascii="Times New Roman" w:hAnsi="Times New Roman" w:eastAsia="方正仿宋_GB2312" w:cs="方正仿宋_GB2312"/>
                <w:color w:val="000000"/>
                <w:kern w:val="0"/>
                <w:szCs w:val="21"/>
                <w:lang w:bidi="ar"/>
              </w:rPr>
              <w:t>呈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西多东少、盆地边缘多中心少的特征。地貌类型以中山、低山和盆地等地貌为主。土壤以风沙土和棕漠土为主，成土母质以松散堆积型为主。本区分布有我国第二大沙漠古尔班通古特沙漠</w:t>
            </w:r>
            <w:r>
              <w:rPr>
                <w:rFonts w:hint="eastAsia" w:eastAsia="方正仿宋_GB2312" w:cs="方正仿宋_GB2312"/>
                <w:color w:val="auto"/>
                <w:szCs w:val="21"/>
              </w:rPr>
              <w:t>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具有重要的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防风固沙和水源涵养功能。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</w:trPr>
        <w:tc>
          <w:tcPr>
            <w:tcW w:w="850" w:type="dxa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6.6</w:t>
            </w:r>
          </w:p>
        </w:tc>
        <w:tc>
          <w:tcPr>
            <w:tcW w:w="887" w:type="dxa"/>
            <w:vMerge w:val="continue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</w:tc>
        <w:tc>
          <w:tcPr>
            <w:tcW w:w="1139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西天山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伊犁河谷</w:t>
            </w: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</w:tc>
        <w:tc>
          <w:tcPr>
            <w:tcW w:w="6197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属中温带干旱半干旱气候，年均降水量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20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0~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57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0毫米。地貌类型为高山、中山和河谷等地貌为主，高山发育现代冰川，山地区土壤以</w:t>
            </w:r>
            <w:r>
              <w:rPr>
                <w:rFonts w:hint="default" w:ascii="Times New Roman" w:hAnsi="Times New Roman" w:eastAsia="方正仿宋_GB2312" w:cs="方正仿宋_GB2312"/>
                <w:color w:val="000000"/>
                <w:kern w:val="0"/>
                <w:szCs w:val="21"/>
                <w:lang w:bidi="ar"/>
              </w:rPr>
              <w:t>冷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钙土和灰钙土为主，成土母岩以中等风化型和难风化型为主；盆地、河谷区土壤以灰钙土为主，成土母质以松散堆积型为主。本区是伊犁河重要水源补给区，耕地集中于河谷地区，也是新疆北部重要粮食产区，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具有重要的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农产品提供、水源涵养、防风固沙和生物多样性保护功能。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7" w:hRule="atLeast"/>
        </w:trPr>
        <w:tc>
          <w:tcPr>
            <w:tcW w:w="850" w:type="dxa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6.7</w:t>
            </w:r>
          </w:p>
        </w:tc>
        <w:tc>
          <w:tcPr>
            <w:tcW w:w="887" w:type="dxa"/>
            <w:vMerge w:val="continue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</w:tc>
        <w:tc>
          <w:tcPr>
            <w:tcW w:w="1139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东天山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吐哈盆地</w:t>
            </w:r>
          </w:p>
          <w:p>
            <w:pPr>
              <w:widowControl/>
              <w:snapToGrid w:val="0"/>
              <w:spacing w:line="300" w:lineRule="exact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</w:tc>
        <w:tc>
          <w:tcPr>
            <w:tcW w:w="6197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属暖温带干旱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半干旱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气候，年均降水量10~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57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0毫米。地貌类型以高山、中山和盆地地貌为主。土壤以棕漠土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风沙土为主，山地区成土母岩以难风化型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eastAsia="zh-CN" w:bidi="ar"/>
              </w:rPr>
              <w:t>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中等风化型为主，盆地区以松散堆积型为主。</w:t>
            </w:r>
            <w:r>
              <w:rPr>
                <w:rFonts w:hint="eastAsia" w:eastAsia="方正仿宋_GB2312" w:cs="方正仿宋_GB2312"/>
                <w:color w:val="auto"/>
                <w:szCs w:val="21"/>
              </w:rPr>
              <w:t>本区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具有重要的农</w:t>
            </w:r>
            <w:r>
              <w:rPr>
                <w:rFonts w:hint="eastAsia" w:eastAsia="方正仿宋_GB2312" w:cs="方正仿宋_GB2312"/>
                <w:color w:val="auto"/>
                <w:szCs w:val="21"/>
              </w:rPr>
              <w:t>产品提供、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水源涵养、防风固沙和生物多样性保护功能。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5" w:hRule="atLeast"/>
        </w:trPr>
        <w:tc>
          <w:tcPr>
            <w:tcW w:w="850" w:type="dxa"/>
            <w:noWrap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/>
                <w:color w:val="auto"/>
                <w:kern w:val="0"/>
                <w:szCs w:val="21"/>
                <w:lang w:bidi="ar"/>
              </w:rPr>
              <w:t>6.8</w:t>
            </w:r>
          </w:p>
        </w:tc>
        <w:tc>
          <w:tcPr>
            <w:tcW w:w="887" w:type="dxa"/>
            <w:vMerge w:val="continue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</w:p>
        </w:tc>
        <w:tc>
          <w:tcPr>
            <w:tcW w:w="1139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塔里木</w:t>
            </w:r>
          </w:p>
          <w:p>
            <w:pPr>
              <w:widowControl/>
              <w:snapToGrid w:val="0"/>
              <w:spacing w:line="3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盆地</w:t>
            </w:r>
          </w:p>
          <w:p>
            <w:pPr>
              <w:widowControl/>
              <w:snapToGrid w:val="0"/>
              <w:spacing w:line="30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</w:tc>
        <w:tc>
          <w:tcPr>
            <w:tcW w:w="6197" w:type="dxa"/>
            <w:noWrap w:val="0"/>
            <w:vAlign w:val="center"/>
          </w:tcPr>
          <w:p>
            <w:pPr>
              <w:widowControl/>
              <w:snapToGrid w:val="0"/>
              <w:spacing w:line="300" w:lineRule="exact"/>
              <w:textAlignment w:val="center"/>
              <w:rPr>
                <w:rFonts w:hint="eastAsia" w:eastAsia="方正仿宋_GB2312" w:cs="方正仿宋_GB2312"/>
                <w:color w:val="auto"/>
                <w:szCs w:val="21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属暖温带干旱气候，年均降水量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2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5~2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7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0毫米。地貌类型以盆地地貌为主。土壤以风沙土为主，成土母质以松散堆积型为主。</w:t>
            </w:r>
            <w:r>
              <w:rPr>
                <w:rFonts w:hint="eastAsia" w:eastAsia="方正仿宋_GB2312" w:cs="方正仿宋_GB2312"/>
                <w:color w:val="auto"/>
                <w:szCs w:val="21"/>
              </w:rPr>
              <w:t>本区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中部为我国第一大沙漠塔克拉玛干沙漠，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val="en-US" w:eastAsia="zh-CN" w:bidi="ar"/>
              </w:rPr>
              <w:t>具有重要的</w:t>
            </w: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农产品提供和防风固沙功能。</w:t>
            </w:r>
          </w:p>
        </w:tc>
      </w:tr>
    </w:tbl>
    <w:p>
      <w:pPr>
        <w:pStyle w:val="2"/>
        <w:ind w:firstLine="0" w:firstLineChars="0"/>
        <w:jc w:val="center"/>
        <w:rPr>
          <w:rFonts w:hint="eastAsia" w:ascii="Times New Roman" w:hAnsi="Times New Roman" w:eastAsia="楷体" w:cs="楷体"/>
          <w:color w:val="auto"/>
          <w:sz w:val="32"/>
          <w:szCs w:val="32"/>
        </w:rPr>
      </w:pPr>
    </w:p>
    <w:p>
      <w:pPr>
        <w:pStyle w:val="2"/>
        <w:snapToGrid w:val="0"/>
        <w:spacing w:before="156" w:beforeLines="50" w:line="560" w:lineRule="exact"/>
        <w:ind w:firstLine="640"/>
        <w:outlineLvl w:val="1"/>
        <w:rPr>
          <w:rFonts w:ascii="Times New Roman" w:hAnsi="Times New Roman" w:eastAsia="楷体" w:cs="楷体"/>
          <w:color w:val="auto"/>
          <w:sz w:val="32"/>
          <w:szCs w:val="32"/>
        </w:rPr>
      </w:pPr>
      <w:bookmarkStart w:id="14" w:name="_Toc19436"/>
      <w:r>
        <w:rPr>
          <w:rFonts w:hint="eastAsia" w:ascii="Times New Roman" w:hAnsi="Times New Roman" w:eastAsia="楷体" w:cs="楷体"/>
          <w:color w:val="auto"/>
          <w:sz w:val="32"/>
          <w:szCs w:val="32"/>
        </w:rPr>
        <w:t>（三）</w:t>
      </w:r>
      <w:bookmarkEnd w:id="13"/>
      <w:r>
        <w:rPr>
          <w:rFonts w:hint="eastAsia" w:ascii="Times New Roman" w:hAnsi="Times New Roman" w:eastAsia="楷体" w:cs="楷体"/>
          <w:color w:val="auto"/>
          <w:sz w:val="32"/>
          <w:szCs w:val="32"/>
        </w:rPr>
        <w:t>三级生态区</w:t>
      </w:r>
      <w:bookmarkEnd w:id="14"/>
    </w:p>
    <w:p>
      <w:pPr>
        <w:snapToGrid w:val="0"/>
        <w:spacing w:after="156" w:afterLines="50" w:line="560" w:lineRule="exact"/>
        <w:ind w:firstLine="640"/>
        <w:rPr>
          <w:rFonts w:hint="eastAsia" w:eastAsia="方正仿宋_GB2312" w:cs="方正仿宋_GB2312"/>
          <w:color w:val="auto"/>
          <w:sz w:val="32"/>
          <w:szCs w:val="32"/>
        </w:rPr>
      </w:pPr>
      <w:r>
        <w:rPr>
          <w:rFonts w:hint="eastAsia" w:eastAsia="方正仿宋_GB2312"/>
          <w:color w:val="auto"/>
          <w:sz w:val="32"/>
          <w:szCs w:val="32"/>
        </w:rPr>
        <w:t>三级生态区</w:t>
      </w:r>
      <w:r>
        <w:rPr>
          <w:rFonts w:eastAsia="方正仿宋_GB2312"/>
          <w:color w:val="auto"/>
          <w:sz w:val="32"/>
          <w:szCs w:val="32"/>
        </w:rPr>
        <w:t>23</w:t>
      </w:r>
      <w:r>
        <w:rPr>
          <w:rFonts w:hint="eastAsia" w:eastAsia="方正仿宋_GB2312"/>
          <w:color w:val="auto"/>
          <w:sz w:val="32"/>
          <w:szCs w:val="32"/>
        </w:rPr>
        <w:t>3</w:t>
      </w:r>
      <w:r>
        <w:rPr>
          <w:rFonts w:eastAsia="方正仿宋_GB2312"/>
          <w:color w:val="auto"/>
          <w:sz w:val="32"/>
          <w:szCs w:val="32"/>
        </w:rPr>
        <w:t>个</w:t>
      </w:r>
      <w:r>
        <w:rPr>
          <w:rFonts w:hint="eastAsia" w:eastAsia="方正仿宋_GB2312"/>
          <w:color w:val="auto"/>
          <w:sz w:val="32"/>
          <w:szCs w:val="32"/>
          <w:lang w:eastAsia="zh-CN"/>
        </w:rPr>
        <w:t>（图</w:t>
      </w:r>
      <w:r>
        <w:rPr>
          <w:rFonts w:hint="eastAsia" w:eastAsia="方正仿宋_GB2312"/>
          <w:color w:val="auto"/>
          <w:sz w:val="32"/>
          <w:szCs w:val="32"/>
          <w:lang w:val="en-US" w:eastAsia="zh-CN"/>
        </w:rPr>
        <w:t>3</w:t>
      </w:r>
      <w:r>
        <w:rPr>
          <w:rFonts w:hint="eastAsia" w:eastAsia="方正仿宋_GB2312"/>
          <w:color w:val="auto"/>
          <w:sz w:val="32"/>
          <w:szCs w:val="32"/>
          <w:lang w:eastAsia="zh-CN"/>
        </w:rPr>
        <w:t>）</w:t>
      </w:r>
      <w:r>
        <w:rPr>
          <w:rFonts w:hint="eastAsia" w:eastAsia="方正仿宋_GB2312"/>
          <w:color w:val="auto"/>
          <w:sz w:val="32"/>
          <w:szCs w:val="32"/>
        </w:rPr>
        <w:t>，是二级生态区的进一步细分，</w:t>
      </w:r>
      <w:r>
        <w:rPr>
          <w:rFonts w:hint="eastAsia" w:eastAsia="方正仿宋_GB2312" w:cs="方正仿宋_GB2312"/>
          <w:color w:val="auto"/>
          <w:sz w:val="32"/>
          <w:szCs w:val="32"/>
        </w:rPr>
        <w:t>是</w:t>
      </w:r>
      <w:r>
        <w:rPr>
          <w:rFonts w:hint="eastAsia" w:eastAsia="方正仿宋_GB2312" w:cs="方正仿宋_GB2312"/>
          <w:color w:val="auto"/>
          <w:sz w:val="32"/>
          <w:szCs w:val="32"/>
          <w:lang w:eastAsia="zh-CN"/>
        </w:rPr>
        <w:t>开展</w:t>
      </w:r>
      <w:r>
        <w:rPr>
          <w:rFonts w:hint="eastAsia" w:eastAsia="方正仿宋_GB2312" w:cs="方正仿宋_GB2312"/>
          <w:color w:val="auto"/>
          <w:sz w:val="32"/>
          <w:szCs w:val="32"/>
        </w:rPr>
        <w:t>生态监测评价预警的最基础单元，</w:t>
      </w:r>
      <w:r>
        <w:rPr>
          <w:rFonts w:hint="eastAsia" w:eastAsia="方正仿宋_GB2312" w:cs="方正仿宋_GB2312"/>
          <w:color w:val="auto"/>
          <w:sz w:val="32"/>
          <w:szCs w:val="32"/>
          <w:lang w:eastAsia="zh-CN"/>
        </w:rPr>
        <w:t>主要</w:t>
      </w:r>
      <w:r>
        <w:rPr>
          <w:rFonts w:hint="eastAsia" w:eastAsia="方正仿宋_GB2312" w:cs="方正仿宋_GB2312"/>
          <w:color w:val="auto"/>
          <w:sz w:val="32"/>
          <w:szCs w:val="32"/>
        </w:rPr>
        <w:t>面向生态修复</w:t>
      </w:r>
      <w:r>
        <w:rPr>
          <w:rFonts w:hint="eastAsia" w:eastAsia="方正仿宋_GB2312" w:cs="方正仿宋_GB2312"/>
          <w:color w:val="auto"/>
          <w:sz w:val="32"/>
          <w:szCs w:val="32"/>
          <w:lang w:eastAsia="zh-CN"/>
        </w:rPr>
        <w:t>参</w:t>
      </w:r>
      <w:r>
        <w:rPr>
          <w:rFonts w:hint="eastAsia" w:eastAsia="方正仿宋_GB2312" w:cs="方正仿宋_GB2312"/>
          <w:color w:val="auto"/>
          <w:sz w:val="32"/>
          <w:szCs w:val="32"/>
          <w:lang w:val="en-US" w:eastAsia="zh-CN"/>
        </w:rPr>
        <w:t>考</w:t>
      </w:r>
      <w:r>
        <w:rPr>
          <w:rFonts w:hint="eastAsia" w:eastAsia="方正仿宋_GB2312" w:cs="方正仿宋_GB2312"/>
          <w:color w:val="auto"/>
          <w:sz w:val="32"/>
          <w:szCs w:val="32"/>
        </w:rPr>
        <w:t>系设置、区域生态修复导则制定、生态恢复力评价和模拟等。划分依据主要考虑</w:t>
      </w:r>
      <w:r>
        <w:rPr>
          <w:rFonts w:hint="eastAsia" w:eastAsia="方正仿宋_GB2312"/>
          <w:color w:val="auto"/>
          <w:sz w:val="32"/>
          <w:szCs w:val="32"/>
        </w:rPr>
        <w:t>地貌</w:t>
      </w:r>
      <w:r>
        <w:rPr>
          <w:rFonts w:eastAsia="方正仿宋_GB2312"/>
          <w:color w:val="auto"/>
          <w:sz w:val="32"/>
          <w:szCs w:val="32"/>
        </w:rPr>
        <w:t>组合类型</w:t>
      </w:r>
      <w:r>
        <w:rPr>
          <w:rFonts w:hint="eastAsia" w:eastAsia="方正仿宋_GB2312"/>
          <w:color w:val="auto"/>
          <w:sz w:val="32"/>
          <w:szCs w:val="32"/>
        </w:rPr>
        <w:t>、土壤类型、植被型组及土地利用类型、一般断裂及成土母岩（质）类等特征。分区</w:t>
      </w:r>
      <w:r>
        <w:rPr>
          <w:rFonts w:hint="eastAsia" w:eastAsia="方正仿宋_GB2312" w:cs="方正仿宋_GB2312"/>
          <w:color w:val="auto"/>
          <w:sz w:val="32"/>
          <w:szCs w:val="32"/>
        </w:rPr>
        <w:t>命名方式为地貌类型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＋</w:t>
      </w:r>
      <w:r>
        <w:rPr>
          <w:rFonts w:hint="eastAsia" w:eastAsia="方正仿宋_GB2312" w:cs="方正仿宋_GB2312"/>
          <w:color w:val="auto"/>
          <w:sz w:val="32"/>
          <w:szCs w:val="32"/>
        </w:rPr>
        <w:t>主要生态系统类型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＋</w:t>
      </w:r>
      <w:r>
        <w:rPr>
          <w:rFonts w:hint="eastAsia" w:eastAsia="方正仿宋_GB2312" w:cs="方正仿宋_GB2312"/>
          <w:color w:val="auto"/>
          <w:sz w:val="32"/>
          <w:szCs w:val="32"/>
        </w:rPr>
        <w:t>生态区，并在二级分区的基础上进行分级编号，如1.1.1大兴安岭北段中山森林生态区。</w:t>
      </w:r>
    </w:p>
    <w:tbl>
      <w:tblPr>
        <w:tblStyle w:val="18"/>
        <w:tblW w:w="9090" w:type="dxa"/>
        <w:tblInd w:w="-18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0"/>
        <w:gridCol w:w="870"/>
        <w:gridCol w:w="1470"/>
        <w:gridCol w:w="900"/>
        <w:gridCol w:w="465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2" w:hRule="atLeast"/>
          <w:tblHeader/>
        </w:trPr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b/>
                <w:bCs/>
                <w:color w:val="auto"/>
                <w:szCs w:val="21"/>
              </w:rPr>
            </w:pPr>
            <w:r>
              <w:rPr>
                <w:rStyle w:val="40"/>
                <w:rFonts w:eastAsia="方正仿宋_GB2312"/>
                <w:b/>
                <w:bCs/>
                <w:color w:val="auto"/>
                <w:lang w:bidi="ar"/>
              </w:rPr>
              <w:t>一级区</w:t>
            </w:r>
          </w:p>
        </w:tc>
        <w:tc>
          <w:tcPr>
            <w:tcW w:w="23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b/>
                <w:bCs/>
                <w:color w:val="auto"/>
                <w:szCs w:val="21"/>
              </w:rPr>
            </w:pPr>
            <w:r>
              <w:rPr>
                <w:rStyle w:val="40"/>
                <w:rFonts w:eastAsia="方正仿宋_GB2312"/>
                <w:b/>
                <w:bCs/>
                <w:color w:val="auto"/>
                <w:lang w:bidi="ar"/>
              </w:rPr>
              <w:t>二级区</w:t>
            </w:r>
          </w:p>
        </w:tc>
        <w:tc>
          <w:tcPr>
            <w:tcW w:w="55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b/>
                <w:bCs/>
                <w:color w:val="auto"/>
                <w:szCs w:val="21"/>
              </w:rPr>
            </w:pPr>
            <w:r>
              <w:rPr>
                <w:rStyle w:val="40"/>
                <w:rFonts w:eastAsia="方正仿宋_GB2312"/>
                <w:b/>
                <w:bCs/>
                <w:color w:val="auto"/>
                <w:lang w:bidi="ar"/>
              </w:rPr>
              <w:t>三级区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1</w:t>
            </w:r>
          </w:p>
          <w:p>
            <w:pPr>
              <w:widowControl/>
              <w:jc w:val="center"/>
              <w:textAlignment w:val="center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  <w:t>东北</w:t>
            </w:r>
          </w:p>
          <w:p>
            <w:pPr>
              <w:widowControl/>
              <w:jc w:val="center"/>
              <w:textAlignment w:val="center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  <w:t>生态区</w:t>
            </w:r>
          </w:p>
          <w:p>
            <w:pPr>
              <w:widowControl/>
              <w:jc w:val="center"/>
              <w:textAlignment w:val="center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1.1</w:t>
            </w:r>
          </w:p>
        </w:tc>
        <w:tc>
          <w:tcPr>
            <w:tcW w:w="1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大兴安岭</w:t>
            </w:r>
          </w:p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1.1.1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大兴安岭北段中山森林生态区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1.1.2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大兴安岭中段中山森林生态区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1.1.3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大兴安岭南段中低山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 w:bidi="ar"/>
              </w:rPr>
              <w:t>森林和草地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1.2</w:t>
            </w:r>
          </w:p>
        </w:tc>
        <w:tc>
          <w:tcPr>
            <w:tcW w:w="1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小兴安岭</w:t>
            </w:r>
          </w:p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1.2.1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小兴安岭西部低山丘陵森林生态区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1.2.2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小兴安岭中部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 w:bidi="ar"/>
              </w:rPr>
              <w:t>低山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丘陵森林生态区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1.2.3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小兴安岭东部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 w:bidi="ar"/>
              </w:rPr>
              <w:t>中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低山森林生态区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1.3</w:t>
            </w:r>
          </w:p>
        </w:tc>
        <w:tc>
          <w:tcPr>
            <w:tcW w:w="1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三江平原</w:t>
            </w:r>
          </w:p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1.3.1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 w:bidi="ar"/>
              </w:rPr>
              <w:t>三江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平原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 w:bidi="ar"/>
              </w:rPr>
              <w:t>北部农田和湿地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1.3.2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完达山北部低山森林生态区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1.3.3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 w:bidi="ar"/>
              </w:rPr>
              <w:t>穆棱河—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兴凯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 w:bidi="ar"/>
              </w:rPr>
              <w:t>湖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平原农田生态区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1.3.4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default" w:ascii="方正仿宋_GB2312" w:hAnsi="方正仿宋_GB2312" w:eastAsia="方正仿宋_GB2312" w:cs="方正仿宋_GB2312"/>
                <w:color w:val="000000"/>
                <w:sz w:val="21"/>
                <w:szCs w:val="21"/>
                <w:lang w:bidi="ar"/>
              </w:rPr>
              <w:t>完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达山南部丘陵森林生态区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1.3.5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 w:bidi="ar"/>
              </w:rPr>
              <w:t>松花江下游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1.4</w:t>
            </w:r>
          </w:p>
        </w:tc>
        <w:tc>
          <w:tcPr>
            <w:tcW w:w="1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长白山</w:t>
            </w:r>
          </w:p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1.4.1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张广才岭中山森林生态区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1.4.2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长白山北部低山森林生态区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1.4.3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长白山南部丘陵农田生态区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1.4.4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龙岗山中低山森林生态区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1.4.5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 w:bidi="ar"/>
              </w:rPr>
              <w:t>长白山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中山森林生态区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1.4.6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千山低山森林生态区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1.4.7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辽东海滨平原农田生态区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1.5</w:t>
            </w:r>
          </w:p>
        </w:tc>
        <w:tc>
          <w:tcPr>
            <w:tcW w:w="1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松嫩平原</w:t>
            </w:r>
          </w:p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1.5.1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嫩江中游丘陵农田生态区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1.5.2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松嫩平原东部丘陵农田生态区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1.5.3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松嫩平原中部农田生态区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1.5.4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嫩江下游平原农田生态区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1.5.5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松嫩平原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 w:bidi="ar"/>
              </w:rPr>
              <w:t>东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南部丘陵农田生态区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1.5.6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霍林河下游平原农田生态区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color w:val="auto"/>
              </w:rPr>
            </w:pPr>
            <w:r>
              <w:rPr>
                <w:color w:val="auto"/>
              </w:rPr>
              <w:t>1.6</w:t>
            </w:r>
          </w:p>
        </w:tc>
        <w:tc>
          <w:tcPr>
            <w:tcW w:w="1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辽河</w:t>
            </w:r>
          </w:p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1.6.1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西辽河平原农田生态区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1.6.2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科尔沁沙地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 w:bidi="ar"/>
              </w:rPr>
              <w:t>农田和草地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1.6.3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辽河上游丘陵农田生态区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1.6.4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辽河下游平原农田生态区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1.6.5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努鲁儿虎山低山丘陵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 w:bidi="ar"/>
              </w:rPr>
              <w:t>农田和森林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1.6.6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西辽河上游丘陵农田生态区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1.6.7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七老图山中山森林生态区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2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Style w:val="42"/>
                <w:rFonts w:hint="eastAsia" w:eastAsia="方正仿宋_GB2312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42"/>
                <w:rFonts w:hint="eastAsia" w:eastAsia="方正仿宋_GB2312"/>
                <w:color w:val="auto"/>
                <w:sz w:val="21"/>
                <w:szCs w:val="21"/>
                <w:lang w:val="en-US" w:eastAsia="zh-CN" w:bidi="ar"/>
              </w:rPr>
              <w:t>2</w:t>
            </w:r>
          </w:p>
          <w:p>
            <w:pPr>
              <w:widowControl/>
              <w:jc w:val="center"/>
              <w:textAlignment w:val="center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  <w:t>黄河</w:t>
            </w:r>
          </w:p>
          <w:p>
            <w:pPr>
              <w:widowControl/>
              <w:jc w:val="center"/>
              <w:textAlignment w:val="center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  <w:t>重点</w:t>
            </w:r>
          </w:p>
          <w:p>
            <w:pPr>
              <w:widowControl/>
              <w:jc w:val="center"/>
              <w:textAlignment w:val="center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  <w:t>生态区</w:t>
            </w:r>
          </w:p>
          <w:p>
            <w:pPr>
              <w:widowControl/>
              <w:jc w:val="center"/>
              <w:textAlignment w:val="center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</w:p>
          <w:p>
            <w:pPr>
              <w:pStyle w:val="2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</w:p>
          <w:p>
            <w:pPr>
              <w:pStyle w:val="2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</w:p>
          <w:p>
            <w:pPr>
              <w:pStyle w:val="2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</w:p>
          <w:p>
            <w:pPr>
              <w:pStyle w:val="2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</w:p>
          <w:p>
            <w:pPr>
              <w:pStyle w:val="2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</w:p>
          <w:p>
            <w:pPr>
              <w:pStyle w:val="2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</w:p>
          <w:p>
            <w:pPr>
              <w:pStyle w:val="2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</w:p>
          <w:p>
            <w:pPr>
              <w:pStyle w:val="2"/>
              <w:rPr>
                <w:rStyle w:val="42"/>
                <w:rFonts w:hint="eastAsia" w:eastAsia="方正仿宋_GB2312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42"/>
                <w:rFonts w:hint="eastAsia" w:eastAsia="方正仿宋_GB2312"/>
                <w:color w:val="auto"/>
                <w:sz w:val="21"/>
                <w:szCs w:val="21"/>
                <w:lang w:val="en-US" w:eastAsia="zh-CN" w:bidi="ar"/>
              </w:rPr>
              <w:t>2</w:t>
            </w:r>
          </w:p>
          <w:p>
            <w:pPr>
              <w:widowControl/>
              <w:jc w:val="center"/>
              <w:textAlignment w:val="center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  <w:t>黄河</w:t>
            </w:r>
          </w:p>
          <w:p>
            <w:pPr>
              <w:widowControl/>
              <w:jc w:val="center"/>
              <w:textAlignment w:val="center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  <w:t>重点</w:t>
            </w:r>
          </w:p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2.1</w:t>
            </w:r>
          </w:p>
        </w:tc>
        <w:tc>
          <w:tcPr>
            <w:tcW w:w="1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鲁中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胶东</w:t>
            </w:r>
          </w:p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丘陵生态区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2.1.1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胶东丘陵农田生态区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2.1.2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鲁中低山丘陵农田生态区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2.2</w:t>
            </w:r>
          </w:p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2.2</w:t>
            </w:r>
          </w:p>
        </w:tc>
        <w:tc>
          <w:tcPr>
            <w:tcW w:w="1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华北平原</w:t>
            </w:r>
          </w:p>
          <w:p>
            <w:pPr>
              <w:widowControl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  <w:p>
            <w:pPr>
              <w:widowControl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华北平原</w:t>
            </w:r>
          </w:p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2.2.1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海河北系平原城镇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 w:bidi="ar"/>
              </w:rPr>
              <w:t>和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2.2.2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黄河三角洲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 w:bidi="ar"/>
              </w:rPr>
              <w:t>农田和湿地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2.2.3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华北中部平原农田生态区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2.2.4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沂沭泗平原农田生态区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2.2.5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淮河中上游平原农田生态区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2.2.6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豫东平原农田生态区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2.2.7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豫北平原农田生态区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2.2.8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太行山山前平原农田生态区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2.3</w:t>
            </w:r>
          </w:p>
        </w:tc>
        <w:tc>
          <w:tcPr>
            <w:tcW w:w="1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燕山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太行山生态区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2.3.1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燕山北部中低山森林生态区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2.3.2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燕山南部低山森林生态区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2.3.3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太行山北部中山森林生态区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2.3.4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太行山南部中低山森林生态区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2.3.5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太岳山中低山森林生态区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2.3.6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太行山北部低山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盆地农田生态区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2.4</w:t>
            </w:r>
          </w:p>
        </w:tc>
        <w:tc>
          <w:tcPr>
            <w:tcW w:w="1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汾渭盆地</w:t>
            </w:r>
          </w:p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2.4.1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汾河谷地农田生态区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2.4.2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渭河谷地农田生态区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2.5</w:t>
            </w:r>
          </w:p>
        </w:tc>
        <w:tc>
          <w:tcPr>
            <w:tcW w:w="1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黄土高原</w:t>
            </w:r>
          </w:p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2.5.1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晋北中山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 w:bidi="ar"/>
              </w:rPr>
              <w:t>农田和森林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2.5.2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吕梁山中山森林生态区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2.5.</w:t>
            </w:r>
            <w:r>
              <w:rPr>
                <w:rFonts w:hint="eastAsia" w:eastAsia="方正仿宋_GB2312"/>
                <w:color w:val="auto"/>
                <w:kern w:val="0"/>
                <w:szCs w:val="21"/>
                <w:lang w:bidi="ar"/>
              </w:rPr>
              <w:t>3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晋陕蒙峡谷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 w:bidi="ar"/>
              </w:rPr>
              <w:t>农田和森林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2.5.</w:t>
            </w:r>
            <w:r>
              <w:rPr>
                <w:rFonts w:hint="eastAsia" w:eastAsia="方正仿宋_GB2312"/>
                <w:color w:val="auto"/>
                <w:kern w:val="0"/>
                <w:szCs w:val="21"/>
                <w:lang w:bidi="ar"/>
              </w:rPr>
              <w:t>4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陇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 w:bidi="ar"/>
              </w:rPr>
              <w:t>东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陕北黄土丘陵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 w:bidi="ar"/>
              </w:rPr>
              <w:t>农田和森林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2.5.</w:t>
            </w:r>
            <w:r>
              <w:rPr>
                <w:rFonts w:hint="eastAsia" w:eastAsia="方正仿宋_GB2312"/>
                <w:color w:val="auto"/>
                <w:kern w:val="0"/>
                <w:szCs w:val="21"/>
                <w:lang w:bidi="ar"/>
              </w:rPr>
              <w:t>5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子午岭黄土丘陵森林生态区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2.5.</w:t>
            </w:r>
            <w:r>
              <w:rPr>
                <w:rFonts w:hint="eastAsia" w:eastAsia="方正仿宋_GB2312"/>
                <w:color w:val="auto"/>
                <w:kern w:val="0"/>
                <w:szCs w:val="21"/>
                <w:lang w:bidi="ar"/>
              </w:rPr>
              <w:t>6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六盘山中山森林生态区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2.5.</w:t>
            </w:r>
            <w:r>
              <w:rPr>
                <w:rFonts w:hint="eastAsia" w:eastAsia="方正仿宋_GB2312"/>
                <w:color w:val="auto"/>
                <w:kern w:val="0"/>
                <w:szCs w:val="21"/>
                <w:lang w:bidi="ar"/>
              </w:rPr>
              <w:t>7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河湟谷地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陇中中山草地生态区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2.6</w:t>
            </w:r>
          </w:p>
        </w:tc>
        <w:tc>
          <w:tcPr>
            <w:tcW w:w="1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鄂尔多斯</w:t>
            </w:r>
          </w:p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高原生态区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2.6.1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default" w:ascii="方正仿宋_GB2312" w:hAnsi="方正仿宋_GB2312" w:eastAsia="方正仿宋_GB2312" w:cs="方正仿宋_GB2312"/>
                <w:color w:val="000000"/>
                <w:sz w:val="21"/>
                <w:szCs w:val="21"/>
                <w:lang w:bidi="ar"/>
              </w:rPr>
              <w:t>库布其沙漠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荒漠生态区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2.6.2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鄂尔多斯高原北部草地生态区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2.6.3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毛乌素沙地草地生态区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2.7</w:t>
            </w:r>
          </w:p>
        </w:tc>
        <w:tc>
          <w:tcPr>
            <w:tcW w:w="1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贺兰山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</w:p>
          <w:p>
            <w:pPr>
              <w:widowControl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河套平原</w:t>
            </w:r>
          </w:p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2.7.1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河套平原农田生态区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2.7.2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贺兰山中山草地生态区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2.7.3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银川平原农田生态区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2.8</w:t>
            </w:r>
          </w:p>
        </w:tc>
        <w:tc>
          <w:tcPr>
            <w:tcW w:w="1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秦岭北麓</w:t>
            </w:r>
          </w:p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2.8.1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洛河下游丘陵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嵩山低山农田生态区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2.8.2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熊耳山中山丘陵森林生态区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2.8.3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秦岭北麓中段中山森林生态区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2.8.4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秦岭北麓西段中山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 w:bidi="ar"/>
              </w:rPr>
              <w:t>森林和农田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auto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pStyle w:val="2"/>
            </w:pPr>
          </w:p>
          <w:p>
            <w:pPr>
              <w:widowControl/>
              <w:jc w:val="center"/>
              <w:textAlignment w:val="auto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auto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</w:t>
            </w:r>
          </w:p>
          <w:p>
            <w:pPr>
              <w:widowControl/>
              <w:snapToGrid/>
              <w:spacing w:line="240" w:lineRule="auto"/>
              <w:jc w:val="center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长江及</w:t>
            </w:r>
          </w:p>
          <w:p>
            <w:pPr>
              <w:jc w:val="center"/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川滇</w:t>
            </w:r>
          </w:p>
          <w:p>
            <w:pPr>
              <w:widowControl/>
              <w:snapToGrid/>
              <w:spacing w:line="240" w:lineRule="auto"/>
              <w:jc w:val="center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重点</w:t>
            </w:r>
          </w:p>
          <w:p>
            <w:pPr>
              <w:widowControl/>
              <w:snapToGrid/>
              <w:spacing w:line="240" w:lineRule="auto"/>
              <w:jc w:val="center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  <w:p>
            <w:pPr>
              <w:widowControl/>
              <w:jc w:val="center"/>
              <w:textAlignment w:val="auto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auto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auto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auto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auto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auto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auto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auto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auto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auto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auto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auto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auto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auto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auto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auto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auto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auto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auto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</w:t>
            </w:r>
          </w:p>
          <w:p>
            <w:pPr>
              <w:widowControl/>
              <w:snapToGrid/>
              <w:spacing w:line="240" w:lineRule="auto"/>
              <w:jc w:val="center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长江及</w:t>
            </w:r>
          </w:p>
          <w:p>
            <w:pPr>
              <w:widowControl/>
              <w:snapToGrid/>
              <w:spacing w:line="240" w:lineRule="auto"/>
              <w:jc w:val="center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川滇</w:t>
            </w:r>
          </w:p>
          <w:p>
            <w:pPr>
              <w:widowControl/>
              <w:snapToGrid/>
              <w:spacing w:line="240" w:lineRule="auto"/>
              <w:jc w:val="center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重点</w:t>
            </w:r>
          </w:p>
          <w:p>
            <w:pPr>
              <w:widowControl/>
              <w:snapToGrid/>
              <w:spacing w:line="240" w:lineRule="auto"/>
              <w:jc w:val="center"/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eastAsia="方正仿宋_GB2312" w:cs="方正仿宋_GB2312"/>
                <w:color w:val="auto"/>
                <w:kern w:val="0"/>
                <w:szCs w:val="21"/>
                <w:lang w:bidi="ar"/>
              </w:rPr>
              <w:t>生态区</w:t>
            </w:r>
          </w:p>
          <w:p>
            <w:pPr>
              <w:widowControl/>
              <w:snapToGrid/>
              <w:spacing w:line="240" w:lineRule="auto"/>
              <w:jc w:val="center"/>
              <w:textAlignment w:val="auto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snapToGrid/>
              <w:spacing w:line="240" w:lineRule="auto"/>
              <w:jc w:val="center"/>
              <w:textAlignment w:val="auto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snapToGrid/>
              <w:spacing w:line="240" w:lineRule="auto"/>
              <w:jc w:val="center"/>
              <w:textAlignment w:val="auto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snapToGrid/>
              <w:spacing w:line="240" w:lineRule="auto"/>
              <w:jc w:val="center"/>
              <w:textAlignment w:val="auto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snapToGrid/>
              <w:spacing w:line="240" w:lineRule="auto"/>
              <w:jc w:val="center"/>
              <w:textAlignment w:val="auto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snapToGrid/>
              <w:spacing w:line="240" w:lineRule="auto"/>
              <w:jc w:val="center"/>
              <w:textAlignment w:val="auto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snapToGrid/>
              <w:spacing w:line="240" w:lineRule="auto"/>
              <w:jc w:val="center"/>
              <w:textAlignment w:val="auto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snapToGrid/>
              <w:spacing w:line="240" w:lineRule="auto"/>
              <w:jc w:val="center"/>
              <w:textAlignment w:val="auto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snapToGrid/>
              <w:spacing w:line="240" w:lineRule="auto"/>
              <w:jc w:val="center"/>
              <w:textAlignment w:val="auto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snapToGrid/>
              <w:spacing w:line="240" w:lineRule="auto"/>
              <w:jc w:val="center"/>
              <w:textAlignment w:val="auto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snapToGrid/>
              <w:spacing w:line="240" w:lineRule="auto"/>
              <w:jc w:val="center"/>
              <w:textAlignment w:val="auto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snapToGrid/>
              <w:spacing w:line="240" w:lineRule="auto"/>
              <w:jc w:val="center"/>
              <w:textAlignment w:val="auto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snapToGrid/>
              <w:spacing w:line="240" w:lineRule="auto"/>
              <w:jc w:val="center"/>
              <w:textAlignment w:val="auto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snapToGrid/>
              <w:spacing w:line="240" w:lineRule="auto"/>
              <w:jc w:val="center"/>
              <w:textAlignment w:val="auto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snapToGrid/>
              <w:spacing w:line="240" w:lineRule="auto"/>
              <w:jc w:val="center"/>
              <w:textAlignment w:val="auto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snapToGrid/>
              <w:spacing w:line="240" w:lineRule="auto"/>
              <w:jc w:val="center"/>
              <w:textAlignment w:val="auto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snapToGrid/>
              <w:spacing w:line="240" w:lineRule="auto"/>
              <w:jc w:val="center"/>
              <w:textAlignment w:val="auto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snapToGrid/>
              <w:spacing w:line="240" w:lineRule="auto"/>
              <w:jc w:val="center"/>
              <w:textAlignment w:val="auto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snapToGrid/>
              <w:spacing w:line="240" w:lineRule="auto"/>
              <w:jc w:val="center"/>
              <w:textAlignment w:val="auto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auto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3.1</w:t>
            </w:r>
          </w:p>
        </w:tc>
        <w:tc>
          <w:tcPr>
            <w:tcW w:w="1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Style w:val="41"/>
                <w:rFonts w:ascii="方正仿宋_GB2312" w:hAnsi="方正仿宋_GB2312" w:eastAsia="方正仿宋_GB2312" w:cs="方正仿宋_GB2312"/>
                <w:color w:val="auto"/>
                <w:lang w:bidi="ar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苏皖沿江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</w:p>
          <w:p>
            <w:pPr>
              <w:widowControl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长江三角洲</w:t>
            </w:r>
          </w:p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平原生态区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3.1.1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里下河平原农田生态区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3.1.2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长江三角洲平原城镇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 w:bidi="ar"/>
              </w:rPr>
              <w:t>和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3.1.3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苏皖沿江平原农田生态区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3.2</w:t>
            </w:r>
          </w:p>
        </w:tc>
        <w:tc>
          <w:tcPr>
            <w:tcW w:w="1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长江中游</w:t>
            </w:r>
          </w:p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平原生态区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3.2.1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汉江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 w:bidi="ar"/>
              </w:rPr>
              <w:t>中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游平原农田生态区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3.2.2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 w:bidi="ar"/>
              </w:rPr>
              <w:t>两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湖平原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 w:bidi="ar"/>
              </w:rPr>
              <w:t>农田和湿地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3.2.3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长江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 w:bidi="ar"/>
              </w:rPr>
              <w:t>下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游平原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 w:bidi="ar"/>
              </w:rPr>
              <w:t>农田和湿地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3.2.4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鄱阳湖平原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 w:bidi="ar"/>
              </w:rPr>
              <w:t>农田和湿地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3.2.5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default" w:ascii="方正仿宋_GB2312" w:hAnsi="方正仿宋_GB2312" w:eastAsia="方正仿宋_GB2312" w:cs="方正仿宋_GB2312"/>
                <w:color w:val="000000"/>
                <w:sz w:val="21"/>
                <w:szCs w:val="21"/>
                <w:lang w:bidi="ar"/>
              </w:rPr>
              <w:t>信江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 w:bidi="ar"/>
              </w:rPr>
              <w:t>—抚州盆地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3.3</w:t>
            </w:r>
          </w:p>
        </w:tc>
        <w:tc>
          <w:tcPr>
            <w:tcW w:w="1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黄山生态区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3.3.1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天目山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牯牛降中山森林生态区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3.3.2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钱塘江中上游低山丘陵森林生态区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3.3.3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怀玉山低山丘陵森林生态区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3.4</w:t>
            </w:r>
          </w:p>
        </w:tc>
        <w:tc>
          <w:tcPr>
            <w:tcW w:w="1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罗霄山</w:t>
            </w:r>
          </w:p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3.4.1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幕阜山中低山森林生态区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3.4.2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九岭山中低山森林生态区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3.4.3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武功山中低山森林生态区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3.5</w:t>
            </w:r>
          </w:p>
        </w:tc>
        <w:tc>
          <w:tcPr>
            <w:tcW w:w="1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大别山</w:t>
            </w:r>
          </w:p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3.5.1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铜山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马保山低山丘陵森林生态区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3.5.2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大别山低山丘陵森林生态区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3.5.3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大洪山低山丘陵森林生态区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3.6</w:t>
            </w:r>
          </w:p>
        </w:tc>
        <w:tc>
          <w:tcPr>
            <w:tcW w:w="1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秦岭南麓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</w:p>
          <w:p>
            <w:pPr>
              <w:widowControl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大巴山</w:t>
            </w:r>
          </w:p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3.6.1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伏牛山中山森林生态区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3.6.2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秦岭南麓中段中山森林生态区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3.6.3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大巴山中部中山森林生态区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3.6.4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武当山低山森林生态区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3.6.5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大巴山东部中山森林生态区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3.6.6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大巴山中部低山丘陵森林生态区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3.6.7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大巴山西部低山森林生态区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3.6.8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汉江上游盆地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 w:bidi="ar"/>
              </w:rPr>
              <w:t>森林和农田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3.6.9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米仓山中低山森林生态区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3.7</w:t>
            </w:r>
          </w:p>
        </w:tc>
        <w:tc>
          <w:tcPr>
            <w:tcW w:w="1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武陵山</w:t>
            </w:r>
          </w:p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3.7.1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武陵山西部岩溶中山森林生态区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3.7.2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武陵山中部岩溶中低山森林生态区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3.7.3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武陵山东部低山丘陵森林生态区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3.8</w:t>
            </w:r>
          </w:p>
        </w:tc>
        <w:tc>
          <w:tcPr>
            <w:tcW w:w="1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雪峰山</w:t>
            </w:r>
          </w:p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3.8.1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雪峰山西部丘陵森林生态区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3.8.2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雪峰山东部中低山森林生态区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3.9</w:t>
            </w:r>
          </w:p>
        </w:tc>
        <w:tc>
          <w:tcPr>
            <w:tcW w:w="1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桂林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湘中</w:t>
            </w:r>
          </w:p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盆地生态区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3.9.1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default" w:ascii="方正仿宋_GB2312" w:hAnsi="方正仿宋_GB2312" w:eastAsia="方正仿宋_GB2312" w:cs="方正仿宋_GB2312"/>
                <w:color w:val="000000"/>
                <w:sz w:val="21"/>
                <w:szCs w:val="21"/>
                <w:lang w:bidi="ar"/>
              </w:rPr>
              <w:t>衡桂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岩溶丘陵农田生态区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3.9.2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阳明山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都庞岭低山丘陵森林生态区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 xml:space="preserve">3.10 </w:t>
            </w:r>
          </w:p>
        </w:tc>
        <w:tc>
          <w:tcPr>
            <w:tcW w:w="1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贵州高原</w:t>
            </w:r>
          </w:p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3.10.1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大娄山岩溶中山森林生态区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3.10.2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苗岭岩溶低山森林生态区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3.10.3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黔东南低山森林生态区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3.10.4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河池岩溶低山丘陵森林生态区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3.10.5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桂西北岩溶中低山森林生态区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3.10.6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桂西南岩溶低山丘陵森林生态区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3.10.7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兴义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文山岩溶中低山森林生态区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3.10.8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乌蒙山岩溶中山森林生态区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3.11</w:t>
            </w:r>
          </w:p>
        </w:tc>
        <w:tc>
          <w:tcPr>
            <w:tcW w:w="1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四川盆地</w:t>
            </w:r>
          </w:p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3.11.1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川渝溶蚀平行岭谷农田生态区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3.11.2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川中丘陵农田生态区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3.11.3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成都平原农田生态区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napToGrid w:val="0"/>
              <w:spacing w:line="300" w:lineRule="auto"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3.12</w:t>
            </w:r>
          </w:p>
        </w:tc>
        <w:tc>
          <w:tcPr>
            <w:tcW w:w="1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napToGrid w:val="0"/>
              <w:spacing w:line="240" w:lineRule="auto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川西南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</w:p>
          <w:p>
            <w:pPr>
              <w:widowControl/>
              <w:snapToGrid w:val="0"/>
              <w:spacing w:line="240" w:lineRule="auto"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滇中高原</w:t>
            </w:r>
          </w:p>
          <w:p>
            <w:pPr>
              <w:widowControl/>
              <w:snapToGrid w:val="0"/>
              <w:spacing w:line="240" w:lineRule="auto"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  <w:p>
            <w:pPr>
              <w:widowControl/>
              <w:snapToGrid w:val="0"/>
              <w:spacing w:line="240" w:lineRule="auto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3.12.1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大凉山中山森林生态区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300" w:lineRule="auto"/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300" w:lineRule="auto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3.12.2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川西南中山森林生态区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spacing w:line="300" w:lineRule="auto"/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line="300" w:lineRule="auto"/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3.12.3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滇东北中山森林生态区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3.12.4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滇中高原低山森林生态区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3.12.5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楚雄中山森林生态区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3.12.6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洱海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程海岩溶中山森林生态区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3.13</w:t>
            </w:r>
          </w:p>
        </w:tc>
        <w:tc>
          <w:tcPr>
            <w:tcW w:w="1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滇西南山地生态区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3.13.1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滇西南中山森林生态区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3.13.2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澜沧江下游中低山森林生态区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3.13.3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高黎贡山中山森林生态区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"/>
              <w:ind w:firstLine="480"/>
              <w:rPr>
                <w:color w:val="auto"/>
              </w:rPr>
            </w:pPr>
          </w:p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4</w:t>
            </w:r>
          </w:p>
          <w:p>
            <w:pPr>
              <w:widowControl/>
              <w:jc w:val="center"/>
              <w:textAlignment w:val="center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  <w:t>东南</w:t>
            </w:r>
          </w:p>
          <w:p>
            <w:pPr>
              <w:widowControl/>
              <w:jc w:val="center"/>
              <w:textAlignment w:val="center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  <w:t>生态区</w:t>
            </w:r>
          </w:p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4.1</w:t>
            </w:r>
          </w:p>
        </w:tc>
        <w:tc>
          <w:tcPr>
            <w:tcW w:w="1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浙闽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赣东南丘陵山地</w:t>
            </w:r>
          </w:p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4.1.1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浙闽滨海丘陵森林生态区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4.1.2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浙南闽东中低山森林生态区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4.1.3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武夷山东部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玳瑁山低山森林生态区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4.1.4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武夷山西部低山森林生态区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4.1.5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赣东南丘陵森林生态区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4.2</w:t>
            </w:r>
          </w:p>
        </w:tc>
        <w:tc>
          <w:tcPr>
            <w:tcW w:w="1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两广丘陵</w:t>
            </w:r>
          </w:p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山地生态区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4.2.1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赣南山间盆地森林生态区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4.2.2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井冈山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诸广山低山森林生态区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4.2.3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大瑶山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大庾岭低山森林生态区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4.2.4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岭南低山森林生态区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4.2.5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桂</w:t>
            </w:r>
            <w:r>
              <w:rPr>
                <w:rStyle w:val="42"/>
                <w:rFonts w:hint="default" w:ascii="方正仿宋_GB2312" w:hAnsi="方正仿宋_GB2312" w:eastAsia="方正仿宋_GB2312" w:cs="方正仿宋_GB2312"/>
                <w:color w:val="000000"/>
                <w:sz w:val="21"/>
                <w:szCs w:val="21"/>
                <w:lang w:bidi="ar"/>
              </w:rPr>
              <w:t>粤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沿海丘陵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平原城镇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 w:bidi="ar"/>
              </w:rPr>
              <w:t>和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4.2.6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雷州滨海平原农田生态区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4.2.7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桂中岩溶低山丘陵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 w:bidi="ar"/>
              </w:rPr>
              <w:t>森林和农田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4.3</w:t>
            </w:r>
          </w:p>
        </w:tc>
        <w:tc>
          <w:tcPr>
            <w:tcW w:w="1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海南岛</w:t>
            </w:r>
          </w:p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4.3.1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海南岛低山丘陵农田生态区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4.3.2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海南岛滨海平原农田生态区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</w:t>
            </w:r>
          </w:p>
          <w:p>
            <w:pPr>
              <w:widowControl/>
              <w:jc w:val="center"/>
              <w:textAlignment w:val="center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  <w:t>青藏</w:t>
            </w:r>
          </w:p>
          <w:p>
            <w:pPr>
              <w:widowControl/>
              <w:jc w:val="center"/>
              <w:textAlignment w:val="center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  <w:t>高原</w:t>
            </w:r>
          </w:p>
          <w:p>
            <w:pPr>
              <w:widowControl/>
              <w:jc w:val="center"/>
              <w:textAlignment w:val="center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  <w:t>生态区</w:t>
            </w:r>
          </w:p>
          <w:p>
            <w:pPr>
              <w:widowControl/>
              <w:jc w:val="center"/>
              <w:textAlignment w:val="center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</w:p>
          <w:p>
            <w:pPr>
              <w:pStyle w:val="2"/>
              <w:ind w:firstLine="0" w:firstLineChars="0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</w:p>
          <w:p>
            <w:pPr>
              <w:pStyle w:val="2"/>
              <w:spacing w:line="240" w:lineRule="auto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</w:t>
            </w:r>
          </w:p>
          <w:p>
            <w:pPr>
              <w:widowControl/>
              <w:jc w:val="center"/>
              <w:textAlignment w:val="center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  <w:t>青藏</w:t>
            </w:r>
          </w:p>
          <w:p>
            <w:pPr>
              <w:widowControl/>
              <w:jc w:val="center"/>
              <w:textAlignment w:val="center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  <w:t>高原</w:t>
            </w:r>
          </w:p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5.1</w:t>
            </w:r>
          </w:p>
        </w:tc>
        <w:tc>
          <w:tcPr>
            <w:tcW w:w="1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喀喇昆仑山生态区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5.1.1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西昆仑极高山荒漠生态区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5.1.2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喀喇昆仑极高山荒漠生态区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5.2</w:t>
            </w:r>
          </w:p>
        </w:tc>
        <w:tc>
          <w:tcPr>
            <w:tcW w:w="1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Style w:val="41"/>
                <w:rFonts w:ascii="方正仿宋_GB2312" w:hAnsi="方正仿宋_GB2312" w:eastAsia="方正仿宋_GB2312" w:cs="方正仿宋_GB2312"/>
                <w:color w:val="auto"/>
                <w:lang w:bidi="ar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 w:bidi="ar"/>
              </w:rPr>
              <w:t>东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昆仑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</w:p>
          <w:p>
            <w:pPr>
              <w:widowControl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阿尔金山</w:t>
            </w:r>
          </w:p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5.2.1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阿尔金山高山荒漠生态区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5.2.2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祁曼塔格山高山荒漠生态区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5.2.3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东昆仑东部高山荒漠生态区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5.2.4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东昆仑中部高山荒漠生态区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5.2.5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东昆仑西部高山荒漠生态区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5.3</w:t>
            </w:r>
          </w:p>
        </w:tc>
        <w:tc>
          <w:tcPr>
            <w:tcW w:w="1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柴达木</w:t>
            </w:r>
          </w:p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盆地生态区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5.3.1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柴达木盆地边缘中低山荒漠生态区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5.3.2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柴达木盆地荒漠生态区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5.3.3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共和盆地草地生态区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5.4</w:t>
            </w:r>
          </w:p>
        </w:tc>
        <w:tc>
          <w:tcPr>
            <w:tcW w:w="1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祁连山</w:t>
            </w:r>
          </w:p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5.4.1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祁连山北部高山草地生态区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5.4.2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大通河流域高山草地生态区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5.4.3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湟水中上游高山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 w:bidi="ar"/>
              </w:rPr>
              <w:t>农田和草地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5.4.4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青海湖流域高山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盆地草地生态区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5.4.5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党河南山高山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 w:bidi="ar"/>
              </w:rPr>
              <w:t>荒漠和草地生态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5.4.6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疏勒南山高山草地生态区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snapToGrid w:val="0"/>
              <w:spacing w:line="300" w:lineRule="auto"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5.5</w:t>
            </w:r>
          </w:p>
        </w:tc>
        <w:tc>
          <w:tcPr>
            <w:tcW w:w="1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三江源</w:t>
            </w:r>
          </w:p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5.5.1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黄南高山草地生态区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5.5.2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甘南高山草地生态区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5.5.3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黄河源草地生态区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5.5.4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长江源草地生态区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5.5.5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澜沧江源草地生态区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5.5.6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怒江源草地生态区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5.6</w:t>
            </w:r>
          </w:p>
        </w:tc>
        <w:tc>
          <w:tcPr>
            <w:tcW w:w="1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横断山</w:t>
            </w:r>
          </w:p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5.6.1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岷山高山森林生态区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5.6.2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邛崃山高山森林生态区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5.6.3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龙门山高山森林生态区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5.6.4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大雪山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大渡河中游高山峡谷森林生态区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5.6.5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沙鲁里山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雅砻江中上游高山峡谷森林生态区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5.6.6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芒康山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金沙江中游高山峡谷森林生态区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5.6.7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澜沧江中游高山峡谷森林生态区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5.6.8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他念他翁山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怒江中下游高山峡谷森林生态区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5.7</w:t>
            </w:r>
          </w:p>
        </w:tc>
        <w:tc>
          <w:tcPr>
            <w:tcW w:w="1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藏东南高原生态区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5.7.1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藏东南极高山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 w:bidi="ar"/>
              </w:rPr>
              <w:t>森林和草地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5.7.2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藏东南中高山森林生态区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5.8</w:t>
            </w:r>
          </w:p>
        </w:tc>
        <w:tc>
          <w:tcPr>
            <w:tcW w:w="1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喜马拉雅山生态区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5.8.1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雅鲁藏布江中游北部极高山峡谷草地生态区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5.8.2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喜马拉雅山中部极高山草地生态区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5.8.3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狮泉河流域南部极高山草地生态区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5.9</w:t>
            </w:r>
          </w:p>
        </w:tc>
        <w:tc>
          <w:tcPr>
            <w:tcW w:w="1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羌塘高原</w:t>
            </w:r>
          </w:p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5.9.1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可可西里丘状高原草地生态区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5.9.2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北羌塘高原草地生态区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5.9.3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南羌塘山原草地生态区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5.9.4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冈底斯高山草地生态区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pStyle w:val="2"/>
              <w:rPr>
                <w:rFonts w:ascii="Times New Roman" w:hAnsi="Times New Roman" w:eastAsia="方正仿宋_GB2312"/>
                <w:color w:val="auto"/>
                <w:kern w:val="0"/>
                <w:sz w:val="21"/>
                <w:szCs w:val="21"/>
                <w:lang w:bidi="ar"/>
              </w:rPr>
            </w:pPr>
          </w:p>
          <w:p>
            <w:pPr>
              <w:pStyle w:val="2"/>
              <w:rPr>
                <w:rFonts w:ascii="Times New Roman" w:hAnsi="Times New Roman" w:eastAsia="方正仿宋_GB2312"/>
                <w:color w:val="auto"/>
                <w:kern w:val="0"/>
                <w:sz w:val="21"/>
                <w:szCs w:val="21"/>
                <w:lang w:bidi="ar"/>
              </w:rPr>
            </w:pPr>
          </w:p>
          <w:p>
            <w:pPr>
              <w:pStyle w:val="2"/>
              <w:rPr>
                <w:rFonts w:ascii="Times New Roman" w:hAnsi="Times New Roman" w:eastAsia="方正仿宋_GB2312"/>
                <w:color w:val="auto"/>
                <w:kern w:val="0"/>
                <w:sz w:val="21"/>
                <w:szCs w:val="21"/>
                <w:lang w:bidi="ar"/>
              </w:rPr>
            </w:pPr>
          </w:p>
          <w:p>
            <w:pPr>
              <w:pStyle w:val="2"/>
              <w:rPr>
                <w:rFonts w:ascii="Times New Roman" w:hAnsi="Times New Roman" w:eastAsia="方正仿宋_GB2312"/>
                <w:color w:val="auto"/>
                <w:kern w:val="0"/>
                <w:sz w:val="21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pStyle w:val="2"/>
              <w:rPr>
                <w:rFonts w:ascii="Times New Roman" w:hAnsi="Times New Roman" w:eastAsia="方正仿宋_GB2312"/>
                <w:color w:val="auto"/>
                <w:kern w:val="0"/>
                <w:sz w:val="21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</w:t>
            </w:r>
          </w:p>
          <w:p>
            <w:pPr>
              <w:widowControl/>
              <w:jc w:val="center"/>
              <w:textAlignment w:val="center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  <w:t>西北</w:t>
            </w:r>
          </w:p>
          <w:p>
            <w:pPr>
              <w:widowControl/>
              <w:jc w:val="center"/>
              <w:textAlignment w:val="center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  <w:t>生态区</w:t>
            </w:r>
          </w:p>
          <w:p>
            <w:pPr>
              <w:pStyle w:val="2"/>
              <w:rPr>
                <w:rFonts w:ascii="Times New Roman" w:hAnsi="Times New Roman" w:eastAsia="方正仿宋_GB2312"/>
                <w:color w:val="auto"/>
                <w:kern w:val="0"/>
                <w:sz w:val="21"/>
                <w:szCs w:val="21"/>
                <w:lang w:bidi="ar"/>
              </w:rPr>
            </w:pPr>
          </w:p>
          <w:p>
            <w:pPr>
              <w:pStyle w:val="2"/>
              <w:rPr>
                <w:rFonts w:ascii="Times New Roman" w:hAnsi="Times New Roman" w:eastAsia="方正仿宋_GB2312"/>
                <w:color w:val="auto"/>
                <w:kern w:val="0"/>
                <w:sz w:val="21"/>
                <w:szCs w:val="21"/>
                <w:lang w:bidi="ar"/>
              </w:rPr>
            </w:pPr>
          </w:p>
          <w:p>
            <w:pPr>
              <w:pStyle w:val="2"/>
              <w:rPr>
                <w:rFonts w:ascii="Times New Roman" w:hAnsi="Times New Roman" w:eastAsia="方正仿宋_GB2312"/>
                <w:color w:val="auto"/>
                <w:kern w:val="0"/>
                <w:sz w:val="21"/>
                <w:szCs w:val="21"/>
                <w:lang w:bidi="ar"/>
              </w:rPr>
            </w:pPr>
          </w:p>
          <w:p>
            <w:pPr>
              <w:pStyle w:val="2"/>
              <w:rPr>
                <w:rFonts w:ascii="Times New Roman" w:hAnsi="Times New Roman" w:eastAsia="方正仿宋_GB2312"/>
                <w:color w:val="auto"/>
                <w:kern w:val="0"/>
                <w:sz w:val="21"/>
                <w:szCs w:val="21"/>
                <w:lang w:bidi="ar"/>
              </w:rPr>
            </w:pPr>
          </w:p>
          <w:p>
            <w:pPr>
              <w:pStyle w:val="2"/>
              <w:rPr>
                <w:rFonts w:ascii="Times New Roman" w:hAnsi="Times New Roman" w:eastAsia="方正仿宋_GB2312"/>
                <w:color w:val="auto"/>
                <w:kern w:val="0"/>
                <w:sz w:val="21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pStyle w:val="2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pStyle w:val="2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pStyle w:val="2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pStyle w:val="2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pStyle w:val="2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pStyle w:val="2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pStyle w:val="2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pStyle w:val="2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pStyle w:val="2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pStyle w:val="2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pStyle w:val="2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pStyle w:val="2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pStyle w:val="2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pStyle w:val="2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</w:t>
            </w:r>
          </w:p>
          <w:p>
            <w:pPr>
              <w:widowControl/>
              <w:jc w:val="center"/>
              <w:textAlignment w:val="center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  <w:t>西北</w:t>
            </w:r>
          </w:p>
          <w:p>
            <w:pPr>
              <w:widowControl/>
              <w:jc w:val="center"/>
              <w:textAlignment w:val="center"/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eastAsia="方正仿宋_GB2312"/>
                <w:color w:val="auto"/>
                <w:sz w:val="21"/>
                <w:szCs w:val="21"/>
                <w:lang w:bidi="ar"/>
              </w:rPr>
              <w:t>生态区</w:t>
            </w:r>
          </w:p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6.1</w:t>
            </w:r>
          </w:p>
        </w:tc>
        <w:tc>
          <w:tcPr>
            <w:tcW w:w="1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内蒙古高原东部生态区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6.1.1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呼伦贝尔高原西部草地生态区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6.1.2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呼伦贝尔高原东部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 w:bidi="ar"/>
              </w:rPr>
              <w:t>草地和湿地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6.1.3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锡林郭勒北部平原草地生态区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6.1.4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浑善达克沙地草地生态区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6.1.5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锡林郭勒中部台地草地生态区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6.1.6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锡林郭勒南部低山丘陵草地生态区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6.1.7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坝上高原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 w:bidi="ar"/>
              </w:rPr>
              <w:t>农田和草地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6.1.8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阴山南麓中山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盆地草地生态区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6.1.9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阴山南麓中低山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 w:bidi="ar"/>
              </w:rPr>
              <w:t>农田和草地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6.1.10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阴山北麓中山草地生态区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6.1.11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阴山北麓平原草地生态区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6.2</w:t>
            </w:r>
          </w:p>
        </w:tc>
        <w:tc>
          <w:tcPr>
            <w:tcW w:w="1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阿拉善</w:t>
            </w:r>
          </w:p>
          <w:p>
            <w:pPr>
              <w:widowControl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河西走廊</w:t>
            </w:r>
          </w:p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6.2.1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阿拉善北部戈壁荒漠生态区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6.2.2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阿拉善北部低山草地生态区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6.2.3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乌兰布和沙漠荒漠生态区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6.2.4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腾格里沙漠荒漠生态区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6.2.5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巴丹吉林沙漠荒漠生态区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6.2.6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雅布赖山中山草地生态区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6.2.7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石羊河平原农田生态区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6.2.8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黑河上游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 w:bidi="ar"/>
              </w:rPr>
              <w:t>山前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平原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 w:bidi="ar"/>
              </w:rPr>
              <w:t>农田和草地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6.2.9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黑河中下游平原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 w:bidi="ar"/>
              </w:rPr>
              <w:t>农田和草地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6.2.10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疏勒河平原草地生态区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6.3</w:t>
            </w:r>
          </w:p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kern w:val="0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6.3</w:t>
            </w:r>
          </w:p>
        </w:tc>
        <w:tc>
          <w:tcPr>
            <w:tcW w:w="1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北山生态区</w:t>
            </w:r>
          </w:p>
          <w:p>
            <w:pPr>
              <w:widowControl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北山生态区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6.3.1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北山北部中山荒漠生态区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6.3.2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北山中部戈壁荒漠生态区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6.3.3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北山中部中山荒漠生态区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6.3.4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北山南部中山荒漠生态区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6.3.5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额济纳西部中山荒漠生态区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6.4</w:t>
            </w:r>
          </w:p>
        </w:tc>
        <w:tc>
          <w:tcPr>
            <w:tcW w:w="1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阿尔泰山</w:t>
            </w:r>
          </w:p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6.4.1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阿尔泰山北部中山森林生态区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6.4.2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阿尔泰山北部低山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 w:bidi="ar"/>
              </w:rPr>
              <w:t>森林和草地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6.4.3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阿尔泰山南部中低山草地生态区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6.4.4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阿尔泰山南部山前平原荒漠生态区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6.4.5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阿尔泰山南部中山荒漠生态区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6.4.6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北塔山低山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山前平原荒漠生态区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6.4.7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北塔山东部低山荒漠生态区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6.5</w:t>
            </w:r>
          </w:p>
        </w:tc>
        <w:tc>
          <w:tcPr>
            <w:tcW w:w="1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准噶尔盆地生态区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6.5.1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额尔齐斯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乌伦古河平原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 w:bidi="ar"/>
              </w:rPr>
              <w:t>农田和草地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6.5.2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default" w:ascii="方正仿宋_GB2312" w:hAnsi="方正仿宋_GB2312" w:eastAsia="方正仿宋_GB2312" w:cs="方正仿宋_GB2312"/>
                <w:color w:val="000000"/>
                <w:sz w:val="21"/>
                <w:szCs w:val="21"/>
                <w:lang w:bidi="ar"/>
              </w:rPr>
              <w:t>准北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低山草地生态区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6.5.3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default" w:ascii="方正仿宋_GB2312" w:hAnsi="方正仿宋_GB2312" w:eastAsia="方正仿宋_GB2312" w:cs="方正仿宋_GB2312"/>
                <w:color w:val="000000"/>
                <w:sz w:val="21"/>
                <w:szCs w:val="21"/>
                <w:lang w:bidi="ar"/>
              </w:rPr>
              <w:t>准北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丘陵草地生态区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6.5.4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古尔班通古特沙漠荒漠生态区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6.5.5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default" w:ascii="方正仿宋_GB2312" w:hAnsi="方正仿宋_GB2312" w:eastAsia="方正仿宋_GB2312" w:cs="方正仿宋_GB2312"/>
                <w:color w:val="000000"/>
                <w:sz w:val="21"/>
                <w:szCs w:val="21"/>
                <w:lang w:bidi="ar"/>
              </w:rPr>
              <w:t>准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东平原草地生态区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6.5.6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default" w:ascii="方正仿宋_GB2312" w:hAnsi="方正仿宋_GB2312" w:eastAsia="方正仿宋_GB2312" w:cs="方正仿宋_GB2312"/>
                <w:color w:val="000000"/>
                <w:sz w:val="21"/>
                <w:szCs w:val="21"/>
                <w:lang w:bidi="ar"/>
              </w:rPr>
              <w:t>准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东平原农田生态区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6.5.7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default" w:ascii="方正仿宋_GB2312" w:hAnsi="方正仿宋_GB2312" w:eastAsia="方正仿宋_GB2312" w:cs="方正仿宋_GB2312"/>
                <w:color w:val="000000"/>
                <w:sz w:val="21"/>
                <w:szCs w:val="21"/>
                <w:lang w:bidi="ar"/>
              </w:rPr>
              <w:t>准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西平原农田生态区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6.5.8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default" w:ascii="方正仿宋_GB2312" w:hAnsi="方正仿宋_GB2312" w:eastAsia="方正仿宋_GB2312" w:cs="方正仿宋_GB2312"/>
                <w:color w:val="000000"/>
                <w:sz w:val="21"/>
                <w:szCs w:val="21"/>
                <w:lang w:bidi="ar"/>
              </w:rPr>
              <w:t>准北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中低山草地生态区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6.5.9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阿拉套山中山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 w:bidi="ar"/>
              </w:rPr>
              <w:t>森林和草地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6.5.10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塔城盆地农田生态区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6.6</w:t>
            </w:r>
          </w:p>
        </w:tc>
        <w:tc>
          <w:tcPr>
            <w:tcW w:w="1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西天山</w:t>
            </w:r>
          </w:p>
          <w:p>
            <w:pPr>
              <w:widowControl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伊犁河谷</w:t>
            </w:r>
          </w:p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6.6.1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西天山北部高山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 w:bidi="ar"/>
              </w:rPr>
              <w:t>森林和草地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6.6.2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伊犁河谷农田生态区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6.6.3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乌孙山高山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 w:bidi="ar"/>
              </w:rPr>
              <w:t>森林和草地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6.6.4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西天山中部中山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 w:bidi="ar"/>
              </w:rPr>
              <w:t>森林和草地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6.6.5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尤尔都斯盆地湿地生态区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6.6.6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西天山中部高山草地生态区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6.6.7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西天山南部中山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山间盆地荒漠生态区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6.6.8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西天山南部高山草地生态区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6.7</w:t>
            </w:r>
          </w:p>
        </w:tc>
        <w:tc>
          <w:tcPr>
            <w:tcW w:w="1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Style w:val="41"/>
                <w:rFonts w:ascii="方正仿宋_GB2312" w:hAnsi="方正仿宋_GB2312" w:eastAsia="方正仿宋_GB2312" w:cs="方正仿宋_GB2312"/>
                <w:color w:val="auto"/>
                <w:lang w:bidi="ar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东天山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</w:p>
          <w:p>
            <w:pPr>
              <w:widowControl/>
              <w:jc w:val="center"/>
              <w:textAlignment w:val="center"/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吐哈盆地</w:t>
            </w:r>
          </w:p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6.7.1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东天山高山草地生态区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6.7.2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巴里坤中山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盆地草地生态区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6.7.3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吐鲁番</w:t>
            </w:r>
            <w:r>
              <w:rPr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val="en-US" w:eastAsia="zh-CN"/>
              </w:rPr>
              <w:t>—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哈密盆地荒漠生态区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6.7.4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东</w:t>
            </w:r>
            <w:r>
              <w:rPr>
                <w:rStyle w:val="42"/>
                <w:rFonts w:hint="default" w:ascii="方正仿宋_GB2312" w:hAnsi="方正仿宋_GB2312" w:eastAsia="方正仿宋_GB2312" w:cs="方正仿宋_GB2312"/>
                <w:color w:val="000000"/>
                <w:sz w:val="21"/>
                <w:szCs w:val="21"/>
                <w:lang w:bidi="ar"/>
              </w:rPr>
              <w:t>疆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戈壁荒漠生态区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6.7.5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焉耆盆地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eastAsia="zh-CN" w:bidi="ar"/>
              </w:rPr>
              <w:t>农田和草地</w:t>
            </w: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方正仿宋_GB2312"/>
                <w:color w:val="auto"/>
                <w:szCs w:val="21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6.8</w:t>
            </w:r>
          </w:p>
        </w:tc>
        <w:tc>
          <w:tcPr>
            <w:tcW w:w="1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塔里木盆地生态区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6.8.1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拜城盆地荒漠生态区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6.8.2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塔里木盆地北部农田生态区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6.8.3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塔克拉玛干沙漠荒漠生态区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6.8.4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罗布泊荒漠生态区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2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2312"/>
                <w:color w:val="auto"/>
                <w:szCs w:val="21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eastAsia="方正仿宋_GB2312"/>
                <w:color w:val="auto"/>
                <w:kern w:val="0"/>
                <w:szCs w:val="21"/>
                <w:lang w:bidi="ar"/>
              </w:rPr>
              <w:t>6.8.5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color w:val="auto"/>
                <w:szCs w:val="21"/>
              </w:rPr>
            </w:pPr>
            <w:r>
              <w:rPr>
                <w:rStyle w:val="42"/>
                <w:rFonts w:hint="eastAsia" w:ascii="方正仿宋_GB2312" w:hAnsi="方正仿宋_GB2312" w:eastAsia="方正仿宋_GB2312" w:cs="方正仿宋_GB2312"/>
                <w:color w:val="auto"/>
                <w:sz w:val="21"/>
                <w:szCs w:val="21"/>
                <w:lang w:bidi="ar"/>
              </w:rPr>
              <w:t>塔里木盆地南部荒漠生态区</w:t>
            </w:r>
          </w:p>
        </w:tc>
      </w:tr>
    </w:tbl>
    <w:p>
      <w:pPr>
        <w:pStyle w:val="2"/>
        <w:ind w:firstLine="0" w:firstLineChars="0"/>
        <w:rPr>
          <w:rFonts w:hint="eastAsia" w:ascii="Times New Roman" w:hAnsi="Times New Roman" w:eastAsia="方正仿宋_GB2312" w:cs="方正仿宋_GB2312"/>
          <w:color w:val="auto"/>
          <w:sz w:val="32"/>
          <w:szCs w:val="32"/>
        </w:rPr>
      </w:pPr>
    </w:p>
    <w:bookmarkEnd w:id="11"/>
    <w:p>
      <w:pPr>
        <w:pStyle w:val="2"/>
        <w:ind w:firstLine="0" w:firstLineChars="0"/>
        <w:jc w:val="center"/>
        <w:rPr>
          <w:rFonts w:hint="eastAsia" w:ascii="Times New Roman" w:hAnsi="Times New Roman" w:eastAsia="方正仿宋_GB2312"/>
          <w:color w:val="auto"/>
          <w:sz w:val="28"/>
          <w:szCs w:val="28"/>
        </w:rPr>
        <w:sectPr>
          <w:footerReference r:id="rId7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pStyle w:val="2"/>
        <w:spacing w:line="240" w:lineRule="auto"/>
        <w:ind w:left="0" w:leftChars="0" w:firstLine="0" w:firstLineChars="0"/>
        <w:jc w:val="center"/>
        <w:outlineLvl w:val="0"/>
        <w:rPr>
          <w:rFonts w:hint="eastAsia" w:ascii="Times New Roman" w:hAnsi="Times New Roman" w:eastAsia="黑体" w:cs="Times New Roman"/>
          <w:b/>
          <w:bCs/>
          <w:color w:val="auto"/>
          <w:kern w:val="44"/>
          <w:sz w:val="32"/>
          <w:szCs w:val="44"/>
          <w:lang w:val="en-US"/>
        </w:rPr>
      </w:pPr>
      <w:r>
        <w:rPr>
          <w:rFonts w:hint="eastAsia" w:ascii="Times New Roman" w:hAnsi="Times New Roman" w:eastAsia="黑体" w:cs="Times New Roman"/>
          <w:b/>
          <w:bCs/>
          <w:color w:val="auto"/>
          <w:kern w:val="44"/>
          <w:sz w:val="32"/>
          <w:szCs w:val="44"/>
          <w:lang w:val="en-US" w:eastAsia="zh-CN"/>
        </w:rPr>
        <w:t>图1 一级生态区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2238990" cy="8639810"/>
            <wp:effectExtent l="0" t="0" r="10160" b="8890"/>
            <wp:docPr id="1" name="图片 2" descr="一级生态区-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一级生态区-06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238990" cy="863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1606" w:firstLineChars="500"/>
        <w:jc w:val="center"/>
        <w:outlineLvl w:val="0"/>
        <w:rPr>
          <w:rFonts w:hint="eastAsia" w:ascii="仿宋_GB2312" w:hAnsi="仿宋_GB2312" w:eastAsia="仿宋_GB2312" w:cs="仿宋_GB2312"/>
          <w:b/>
          <w:bCs/>
          <w:color w:val="auto"/>
          <w:kern w:val="44"/>
          <w:sz w:val="28"/>
          <w:szCs w:val="28"/>
          <w:lang w:val="en-US" w:eastAsia="zh-CN"/>
        </w:rPr>
      </w:pPr>
      <w:r>
        <w:rPr>
          <w:rFonts w:hint="eastAsia" w:ascii="Times New Roman" w:hAnsi="Times New Roman" w:eastAsia="黑体"/>
          <w:b/>
          <w:bCs/>
          <w:color w:val="auto"/>
          <w:kern w:val="44"/>
          <w:sz w:val="32"/>
          <w:szCs w:val="44"/>
          <w:lang w:val="en-US" w:eastAsia="zh-CN"/>
        </w:rPr>
        <w:t>图2 二级生态区</w:t>
      </w:r>
    </w:p>
    <w:p>
      <w:pPr>
        <w:pStyle w:val="2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2237720" cy="8639810"/>
            <wp:effectExtent l="0" t="0" r="11430" b="8890"/>
            <wp:docPr id="2" name="图片 3" descr="二级生态区-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二级生态区-06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237720" cy="863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1606" w:firstLineChars="500"/>
        <w:jc w:val="center"/>
        <w:outlineLvl w:val="0"/>
        <w:rPr>
          <w:rFonts w:hint="eastAsia" w:ascii="Times New Roman" w:hAnsi="Times New Roman" w:eastAsia="黑体"/>
          <w:b/>
          <w:bCs/>
          <w:color w:val="auto"/>
          <w:kern w:val="44"/>
          <w:sz w:val="32"/>
          <w:szCs w:val="44"/>
          <w:lang w:val="en-US" w:eastAsia="zh-CN"/>
        </w:rPr>
      </w:pPr>
      <w:r>
        <w:rPr>
          <w:rFonts w:hint="eastAsia" w:ascii="Times New Roman" w:hAnsi="Times New Roman" w:eastAsia="黑体"/>
          <w:b/>
          <w:bCs/>
          <w:color w:val="auto"/>
          <w:kern w:val="44"/>
          <w:sz w:val="32"/>
          <w:szCs w:val="44"/>
          <w:lang w:val="en-US" w:eastAsia="zh-CN"/>
        </w:rPr>
        <w:t>图3 三级生态区</w:t>
      </w:r>
    </w:p>
    <w:p>
      <w:pPr>
        <w:pStyle w:val="2"/>
        <w:ind w:firstLine="0" w:firstLineChars="0"/>
        <w:jc w:val="center"/>
        <w:rPr>
          <w:rFonts w:hint="eastAsia" w:ascii="Times New Roman" w:hAnsi="Times New Roman" w:eastAsia="方正仿宋_GB2312"/>
          <w:color w:val="auto"/>
          <w:sz w:val="28"/>
          <w:szCs w:val="28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2320270" cy="8653145"/>
            <wp:effectExtent l="0" t="0" r="5080" b="14605"/>
            <wp:docPr id="3" name="图片 6" descr="三级生态区-09（字体加粗）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三级生态区-09（字体加粗）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320270" cy="865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23757" w:h="16783" w:orient="landscape"/>
      <w:pgMar w:top="720" w:right="720" w:bottom="720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2ABE67E-C49A-4952-9C51-82F07F05859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531C10AC-CAD2-4EAE-B635-0FD692B2048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3EB10F0-7C15-4BBB-9AD9-2E04F87D7132}"/>
  </w:font>
  <w:font w:name="方正楷体_GB2312">
    <w:altName w:val="宋体"/>
    <w:panose1 w:val="02000000000000000000"/>
    <w:charset w:val="00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253D9E65-9F5E-4761-8D1D-A7D9EB0DA112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altName w:val="微软雅黑"/>
    <w:panose1 w:val="02000000000000000000"/>
    <w:charset w:val="86"/>
    <w:family w:val="script"/>
    <w:pitch w:val="default"/>
    <w:sig w:usb0="00000000" w:usb1="00000000" w:usb2="00082016" w:usb3="00000000" w:csb0="00040001" w:csb1="00000000"/>
    <w:embedRegular r:id="rId5" w:fontKey="{D6500D96-977C-4260-A1EB-7FEED4D9D982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6" w:fontKey="{FCA1882D-C67B-4EE7-A2A5-2D1777D997A9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7" w:fontKey="{49588167-76B6-4CCF-AC14-01FB521DAAF3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8" w:fontKey="{818F48F1-8715-4C85-991A-9E06865580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8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xKxon8oBAACa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tabs>
        <w:tab w:val="clear" w:pos="4153"/>
      </w:tabs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BnKMK5yQEAAJo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r>
        <w:separator/>
      </w:r>
    </w:p>
  </w:footnote>
  <w:footnote w:type="continuationSeparator" w:id="3">
    <w:p>
      <w:r>
        <w:continuationSeparator/>
      </w:r>
    </w:p>
  </w:footnote>
  <w:footnote w:id="0">
    <w:p>
      <w:pPr>
        <w:pStyle w:val="14"/>
      </w:pPr>
      <w:r>
        <w:rPr>
          <w:rStyle w:val="23"/>
        </w:rPr>
        <w:footnoteRef/>
      </w:r>
      <w:r>
        <w:rPr>
          <w:rFonts w:hint="eastAsia"/>
        </w:rPr>
        <w:t xml:space="preserve"> </w:t>
      </w:r>
      <w:r>
        <w:rPr>
          <w:rFonts w:hint="eastAsia" w:eastAsia="方正仿宋_GB2312" w:cs="方正仿宋_GB2312"/>
          <w:sz w:val="21"/>
          <w:szCs w:val="21"/>
        </w:rPr>
        <w:t>黄河重点生态区包含黄淮海平原。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2FC094A"/>
    <w:multiLevelType w:val="singleLevel"/>
    <w:tmpl w:val="E2FC094A"/>
    <w:lvl w:ilvl="0" w:tentative="0">
      <w:start w:val="1"/>
      <w:numFmt w:val="chineseCounting"/>
      <w:suff w:val="nothing"/>
      <w:lvlText w:val="（%1）"/>
      <w:lvlJc w:val="left"/>
      <w:pPr>
        <w:ind w:left="407"/>
      </w:pPr>
      <w:rPr>
        <w:rFonts w:hint="eastAsia"/>
      </w:rPr>
    </w:lvl>
  </w:abstractNum>
  <w:abstractNum w:abstractNumId="1">
    <w:nsid w:val="6A53CED5"/>
    <w:multiLevelType w:val="singleLevel"/>
    <w:tmpl w:val="6A53CED5"/>
    <w:lvl w:ilvl="0" w:tentative="0">
      <w:start w:val="1"/>
      <w:numFmt w:val="chineseCounting"/>
      <w:suff w:val="nothing"/>
      <w:lvlText w:val="%1、"/>
      <w:lvlJc w:val="left"/>
      <w:pPr>
        <w:ind w:left="-13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trackRevisions w:val="1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footnotePr>
    <w:footnote w:id="2"/>
    <w:footnote w:id="3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QxYjJkODcxYmUzOWVlOTBmNmNiMTllZjZjYWIxYmQifQ=="/>
    <w:docVar w:name="KSO_WPS_MARK_KEY" w:val="e6c5f799-95c6-43eb-bd73-8b2add84a870"/>
  </w:docVars>
  <w:rsids>
    <w:rsidRoot w:val="002210C7"/>
    <w:rsid w:val="00000947"/>
    <w:rsid w:val="0001288E"/>
    <w:rsid w:val="000132FD"/>
    <w:rsid w:val="00015550"/>
    <w:rsid w:val="00031C80"/>
    <w:rsid w:val="00033745"/>
    <w:rsid w:val="00034D75"/>
    <w:rsid w:val="00037BB0"/>
    <w:rsid w:val="00042C04"/>
    <w:rsid w:val="00044FBB"/>
    <w:rsid w:val="00045D0E"/>
    <w:rsid w:val="0006425A"/>
    <w:rsid w:val="00067C3B"/>
    <w:rsid w:val="00072298"/>
    <w:rsid w:val="00077715"/>
    <w:rsid w:val="0007771A"/>
    <w:rsid w:val="0008160D"/>
    <w:rsid w:val="000859B6"/>
    <w:rsid w:val="00090F14"/>
    <w:rsid w:val="000A3448"/>
    <w:rsid w:val="000A71FB"/>
    <w:rsid w:val="000B2B92"/>
    <w:rsid w:val="000C15B8"/>
    <w:rsid w:val="000D5D82"/>
    <w:rsid w:val="000E0157"/>
    <w:rsid w:val="000E6982"/>
    <w:rsid w:val="000F0F23"/>
    <w:rsid w:val="000F1C91"/>
    <w:rsid w:val="000F1EF3"/>
    <w:rsid w:val="00104E38"/>
    <w:rsid w:val="001053FB"/>
    <w:rsid w:val="00110BB2"/>
    <w:rsid w:val="00116140"/>
    <w:rsid w:val="001239C5"/>
    <w:rsid w:val="00125A74"/>
    <w:rsid w:val="00126A38"/>
    <w:rsid w:val="00140755"/>
    <w:rsid w:val="00141696"/>
    <w:rsid w:val="0016087C"/>
    <w:rsid w:val="0016342B"/>
    <w:rsid w:val="0016569B"/>
    <w:rsid w:val="00167CF4"/>
    <w:rsid w:val="00186868"/>
    <w:rsid w:val="001960F3"/>
    <w:rsid w:val="001A1338"/>
    <w:rsid w:val="001C36C8"/>
    <w:rsid w:val="001C5A7E"/>
    <w:rsid w:val="001C7C5C"/>
    <w:rsid w:val="001D0C48"/>
    <w:rsid w:val="001E0C82"/>
    <w:rsid w:val="001E277D"/>
    <w:rsid w:val="001F004A"/>
    <w:rsid w:val="001F0613"/>
    <w:rsid w:val="001F12BA"/>
    <w:rsid w:val="001F688B"/>
    <w:rsid w:val="00202D96"/>
    <w:rsid w:val="00211D7C"/>
    <w:rsid w:val="002210C7"/>
    <w:rsid w:val="00223BAF"/>
    <w:rsid w:val="00232211"/>
    <w:rsid w:val="002431AF"/>
    <w:rsid w:val="0024330E"/>
    <w:rsid w:val="002435BA"/>
    <w:rsid w:val="002468BD"/>
    <w:rsid w:val="002476EA"/>
    <w:rsid w:val="002515B3"/>
    <w:rsid w:val="00273EB3"/>
    <w:rsid w:val="002945E2"/>
    <w:rsid w:val="002A0EC6"/>
    <w:rsid w:val="002A2A11"/>
    <w:rsid w:val="002A53EC"/>
    <w:rsid w:val="002A57A8"/>
    <w:rsid w:val="002B60F8"/>
    <w:rsid w:val="002B6A29"/>
    <w:rsid w:val="002C36FE"/>
    <w:rsid w:val="002D3997"/>
    <w:rsid w:val="002D5EF5"/>
    <w:rsid w:val="002E2A05"/>
    <w:rsid w:val="002E39B2"/>
    <w:rsid w:val="002F0E35"/>
    <w:rsid w:val="002F7AEF"/>
    <w:rsid w:val="003003AA"/>
    <w:rsid w:val="003015CE"/>
    <w:rsid w:val="003269D1"/>
    <w:rsid w:val="003273AE"/>
    <w:rsid w:val="00327F16"/>
    <w:rsid w:val="003331BB"/>
    <w:rsid w:val="00335C75"/>
    <w:rsid w:val="00347CD1"/>
    <w:rsid w:val="0035109F"/>
    <w:rsid w:val="00370A3E"/>
    <w:rsid w:val="0038270B"/>
    <w:rsid w:val="00385FD2"/>
    <w:rsid w:val="00390908"/>
    <w:rsid w:val="00395827"/>
    <w:rsid w:val="003A4474"/>
    <w:rsid w:val="003B2B0F"/>
    <w:rsid w:val="003C1183"/>
    <w:rsid w:val="003C70F0"/>
    <w:rsid w:val="003D0FBC"/>
    <w:rsid w:val="003D389E"/>
    <w:rsid w:val="003D4014"/>
    <w:rsid w:val="003D570D"/>
    <w:rsid w:val="00400A12"/>
    <w:rsid w:val="00404741"/>
    <w:rsid w:val="00410842"/>
    <w:rsid w:val="00434FF6"/>
    <w:rsid w:val="00436B9E"/>
    <w:rsid w:val="004409C0"/>
    <w:rsid w:val="00442800"/>
    <w:rsid w:val="00445D09"/>
    <w:rsid w:val="00455269"/>
    <w:rsid w:val="004609B4"/>
    <w:rsid w:val="00464C7C"/>
    <w:rsid w:val="0047553F"/>
    <w:rsid w:val="00477ACB"/>
    <w:rsid w:val="00480CDE"/>
    <w:rsid w:val="0048141D"/>
    <w:rsid w:val="00481844"/>
    <w:rsid w:val="00481B7E"/>
    <w:rsid w:val="004921E8"/>
    <w:rsid w:val="004A051E"/>
    <w:rsid w:val="004B7BB7"/>
    <w:rsid w:val="004C48F8"/>
    <w:rsid w:val="004D0289"/>
    <w:rsid w:val="004D284C"/>
    <w:rsid w:val="004D2F21"/>
    <w:rsid w:val="004D334B"/>
    <w:rsid w:val="004F466B"/>
    <w:rsid w:val="004F51DA"/>
    <w:rsid w:val="005229CF"/>
    <w:rsid w:val="00530029"/>
    <w:rsid w:val="00540FB3"/>
    <w:rsid w:val="005415B0"/>
    <w:rsid w:val="00552A8B"/>
    <w:rsid w:val="0056599A"/>
    <w:rsid w:val="00566234"/>
    <w:rsid w:val="00575C1F"/>
    <w:rsid w:val="005841B0"/>
    <w:rsid w:val="005868E3"/>
    <w:rsid w:val="005945DB"/>
    <w:rsid w:val="005D12AB"/>
    <w:rsid w:val="005D71CC"/>
    <w:rsid w:val="005E0DD6"/>
    <w:rsid w:val="005E1E66"/>
    <w:rsid w:val="005E48EF"/>
    <w:rsid w:val="005E700B"/>
    <w:rsid w:val="005F4B84"/>
    <w:rsid w:val="005F6B4B"/>
    <w:rsid w:val="00602AAB"/>
    <w:rsid w:val="00602B6C"/>
    <w:rsid w:val="00603B93"/>
    <w:rsid w:val="00605E1F"/>
    <w:rsid w:val="006069DF"/>
    <w:rsid w:val="0062182A"/>
    <w:rsid w:val="00632556"/>
    <w:rsid w:val="00654E46"/>
    <w:rsid w:val="0065533F"/>
    <w:rsid w:val="00672051"/>
    <w:rsid w:val="006810FA"/>
    <w:rsid w:val="006872C5"/>
    <w:rsid w:val="00687E41"/>
    <w:rsid w:val="00691FB0"/>
    <w:rsid w:val="00692F60"/>
    <w:rsid w:val="00695DDE"/>
    <w:rsid w:val="00696D7D"/>
    <w:rsid w:val="006A2973"/>
    <w:rsid w:val="006A548A"/>
    <w:rsid w:val="006B5919"/>
    <w:rsid w:val="006B66DC"/>
    <w:rsid w:val="006C246A"/>
    <w:rsid w:val="006C5222"/>
    <w:rsid w:val="006D0A6A"/>
    <w:rsid w:val="006D1E52"/>
    <w:rsid w:val="006D4236"/>
    <w:rsid w:val="006E32AD"/>
    <w:rsid w:val="006F7B17"/>
    <w:rsid w:val="00704EC9"/>
    <w:rsid w:val="007160E0"/>
    <w:rsid w:val="007177B1"/>
    <w:rsid w:val="00736315"/>
    <w:rsid w:val="00745007"/>
    <w:rsid w:val="00746674"/>
    <w:rsid w:val="00750EE1"/>
    <w:rsid w:val="00753FB3"/>
    <w:rsid w:val="007602EF"/>
    <w:rsid w:val="00765A61"/>
    <w:rsid w:val="00786522"/>
    <w:rsid w:val="007949F8"/>
    <w:rsid w:val="00795FBD"/>
    <w:rsid w:val="007C0212"/>
    <w:rsid w:val="007C1D5E"/>
    <w:rsid w:val="007C6E4D"/>
    <w:rsid w:val="007F380D"/>
    <w:rsid w:val="008074B6"/>
    <w:rsid w:val="00813B48"/>
    <w:rsid w:val="008155B3"/>
    <w:rsid w:val="00821DC7"/>
    <w:rsid w:val="00825536"/>
    <w:rsid w:val="00844D93"/>
    <w:rsid w:val="0085439A"/>
    <w:rsid w:val="00861DAB"/>
    <w:rsid w:val="00864045"/>
    <w:rsid w:val="008643CD"/>
    <w:rsid w:val="00866CF8"/>
    <w:rsid w:val="0087234F"/>
    <w:rsid w:val="00874595"/>
    <w:rsid w:val="00875CA6"/>
    <w:rsid w:val="0088608D"/>
    <w:rsid w:val="0089145B"/>
    <w:rsid w:val="008A2266"/>
    <w:rsid w:val="008C33E8"/>
    <w:rsid w:val="008E0DA8"/>
    <w:rsid w:val="008E1110"/>
    <w:rsid w:val="008E15D2"/>
    <w:rsid w:val="008E7A01"/>
    <w:rsid w:val="0092002B"/>
    <w:rsid w:val="00922D4D"/>
    <w:rsid w:val="00931417"/>
    <w:rsid w:val="00940798"/>
    <w:rsid w:val="0094254D"/>
    <w:rsid w:val="00942B3A"/>
    <w:rsid w:val="0095150B"/>
    <w:rsid w:val="0097316A"/>
    <w:rsid w:val="0097497C"/>
    <w:rsid w:val="00981096"/>
    <w:rsid w:val="00981C6E"/>
    <w:rsid w:val="009829EA"/>
    <w:rsid w:val="00992923"/>
    <w:rsid w:val="009956E3"/>
    <w:rsid w:val="00995EAD"/>
    <w:rsid w:val="009C0F46"/>
    <w:rsid w:val="009C69D5"/>
    <w:rsid w:val="009C72BD"/>
    <w:rsid w:val="009D15DD"/>
    <w:rsid w:val="009E296F"/>
    <w:rsid w:val="009E4437"/>
    <w:rsid w:val="009E5604"/>
    <w:rsid w:val="009F1EFC"/>
    <w:rsid w:val="00A0772D"/>
    <w:rsid w:val="00A13E29"/>
    <w:rsid w:val="00A22FF5"/>
    <w:rsid w:val="00A34AA5"/>
    <w:rsid w:val="00A44A1A"/>
    <w:rsid w:val="00A5626A"/>
    <w:rsid w:val="00A6591B"/>
    <w:rsid w:val="00A676A5"/>
    <w:rsid w:val="00A72313"/>
    <w:rsid w:val="00A81422"/>
    <w:rsid w:val="00A8787F"/>
    <w:rsid w:val="00A900A7"/>
    <w:rsid w:val="00A971D4"/>
    <w:rsid w:val="00A97CB7"/>
    <w:rsid w:val="00AC6B03"/>
    <w:rsid w:val="00AD679C"/>
    <w:rsid w:val="00AF4F92"/>
    <w:rsid w:val="00AF71A0"/>
    <w:rsid w:val="00B04674"/>
    <w:rsid w:val="00B06E29"/>
    <w:rsid w:val="00B1074F"/>
    <w:rsid w:val="00B1613B"/>
    <w:rsid w:val="00B206CC"/>
    <w:rsid w:val="00B274FE"/>
    <w:rsid w:val="00B632CE"/>
    <w:rsid w:val="00B74C51"/>
    <w:rsid w:val="00B8350E"/>
    <w:rsid w:val="00B94053"/>
    <w:rsid w:val="00B9734E"/>
    <w:rsid w:val="00BA0BEF"/>
    <w:rsid w:val="00BA26BB"/>
    <w:rsid w:val="00BB0288"/>
    <w:rsid w:val="00BD2647"/>
    <w:rsid w:val="00BD2BA2"/>
    <w:rsid w:val="00BE2687"/>
    <w:rsid w:val="00BE37A2"/>
    <w:rsid w:val="00BE7D11"/>
    <w:rsid w:val="00C03BE0"/>
    <w:rsid w:val="00C04460"/>
    <w:rsid w:val="00C11B8C"/>
    <w:rsid w:val="00C16BBE"/>
    <w:rsid w:val="00C16E09"/>
    <w:rsid w:val="00C24858"/>
    <w:rsid w:val="00C325C5"/>
    <w:rsid w:val="00C32658"/>
    <w:rsid w:val="00C3561D"/>
    <w:rsid w:val="00C44E49"/>
    <w:rsid w:val="00C539CB"/>
    <w:rsid w:val="00C53C53"/>
    <w:rsid w:val="00C61529"/>
    <w:rsid w:val="00C622AD"/>
    <w:rsid w:val="00C75F0C"/>
    <w:rsid w:val="00C82BA7"/>
    <w:rsid w:val="00C8353D"/>
    <w:rsid w:val="00C9294D"/>
    <w:rsid w:val="00C95046"/>
    <w:rsid w:val="00C96F0F"/>
    <w:rsid w:val="00CA1C8E"/>
    <w:rsid w:val="00CA315B"/>
    <w:rsid w:val="00CA45F0"/>
    <w:rsid w:val="00CA5349"/>
    <w:rsid w:val="00CA66A8"/>
    <w:rsid w:val="00CC1729"/>
    <w:rsid w:val="00CC48DD"/>
    <w:rsid w:val="00CE487F"/>
    <w:rsid w:val="00CE4D09"/>
    <w:rsid w:val="00CF1D7E"/>
    <w:rsid w:val="00CF58A6"/>
    <w:rsid w:val="00D026C3"/>
    <w:rsid w:val="00D10493"/>
    <w:rsid w:val="00D12255"/>
    <w:rsid w:val="00D24BDA"/>
    <w:rsid w:val="00D25D2E"/>
    <w:rsid w:val="00D4160D"/>
    <w:rsid w:val="00D64A4C"/>
    <w:rsid w:val="00D76B20"/>
    <w:rsid w:val="00D87F45"/>
    <w:rsid w:val="00D97A31"/>
    <w:rsid w:val="00DB1605"/>
    <w:rsid w:val="00DB5F26"/>
    <w:rsid w:val="00DD575B"/>
    <w:rsid w:val="00DE4C32"/>
    <w:rsid w:val="00DE5B03"/>
    <w:rsid w:val="00DE5F5D"/>
    <w:rsid w:val="00DF0C22"/>
    <w:rsid w:val="00DF4625"/>
    <w:rsid w:val="00E0203C"/>
    <w:rsid w:val="00E13A27"/>
    <w:rsid w:val="00E21480"/>
    <w:rsid w:val="00E256CA"/>
    <w:rsid w:val="00E33804"/>
    <w:rsid w:val="00E4037D"/>
    <w:rsid w:val="00E45A7F"/>
    <w:rsid w:val="00E57505"/>
    <w:rsid w:val="00E633DA"/>
    <w:rsid w:val="00E748E6"/>
    <w:rsid w:val="00E74925"/>
    <w:rsid w:val="00E7525E"/>
    <w:rsid w:val="00E92753"/>
    <w:rsid w:val="00E95709"/>
    <w:rsid w:val="00E95CD9"/>
    <w:rsid w:val="00EA000E"/>
    <w:rsid w:val="00EA25C8"/>
    <w:rsid w:val="00EA29FF"/>
    <w:rsid w:val="00EA4124"/>
    <w:rsid w:val="00EA620B"/>
    <w:rsid w:val="00EA70EB"/>
    <w:rsid w:val="00EA767C"/>
    <w:rsid w:val="00EB1E6A"/>
    <w:rsid w:val="00EC3411"/>
    <w:rsid w:val="00EC5A0A"/>
    <w:rsid w:val="00EE7F13"/>
    <w:rsid w:val="00EF2CCD"/>
    <w:rsid w:val="00EF58EE"/>
    <w:rsid w:val="00EF5C6B"/>
    <w:rsid w:val="00F10417"/>
    <w:rsid w:val="00F11F32"/>
    <w:rsid w:val="00F15C91"/>
    <w:rsid w:val="00F20681"/>
    <w:rsid w:val="00F20C30"/>
    <w:rsid w:val="00F214A2"/>
    <w:rsid w:val="00F343CF"/>
    <w:rsid w:val="00F3630A"/>
    <w:rsid w:val="00F52213"/>
    <w:rsid w:val="00F705B3"/>
    <w:rsid w:val="00F72CD4"/>
    <w:rsid w:val="00F84E76"/>
    <w:rsid w:val="00F85022"/>
    <w:rsid w:val="00F9404F"/>
    <w:rsid w:val="00F95666"/>
    <w:rsid w:val="00FA64F8"/>
    <w:rsid w:val="00FA65E3"/>
    <w:rsid w:val="00FA7033"/>
    <w:rsid w:val="00FD0D9A"/>
    <w:rsid w:val="00FD3ACC"/>
    <w:rsid w:val="00FF0723"/>
    <w:rsid w:val="00FF1545"/>
    <w:rsid w:val="00FF1889"/>
    <w:rsid w:val="00FF66F8"/>
    <w:rsid w:val="00FF70FA"/>
    <w:rsid w:val="00FF735A"/>
    <w:rsid w:val="0147153B"/>
    <w:rsid w:val="014B797D"/>
    <w:rsid w:val="01764865"/>
    <w:rsid w:val="01AD573E"/>
    <w:rsid w:val="01C95B70"/>
    <w:rsid w:val="01EF3980"/>
    <w:rsid w:val="01FF610E"/>
    <w:rsid w:val="02372EF0"/>
    <w:rsid w:val="02B305E6"/>
    <w:rsid w:val="02B4033E"/>
    <w:rsid w:val="03082C1D"/>
    <w:rsid w:val="03103BAE"/>
    <w:rsid w:val="03455F4E"/>
    <w:rsid w:val="0351484C"/>
    <w:rsid w:val="035B12CD"/>
    <w:rsid w:val="036122A8"/>
    <w:rsid w:val="03A069D0"/>
    <w:rsid w:val="03C32DCA"/>
    <w:rsid w:val="03D5515B"/>
    <w:rsid w:val="03E52DCD"/>
    <w:rsid w:val="0420461A"/>
    <w:rsid w:val="045D5E7D"/>
    <w:rsid w:val="04B35BED"/>
    <w:rsid w:val="04D17BAD"/>
    <w:rsid w:val="04ED064B"/>
    <w:rsid w:val="050E5684"/>
    <w:rsid w:val="05BD0869"/>
    <w:rsid w:val="05C06B56"/>
    <w:rsid w:val="05CB595E"/>
    <w:rsid w:val="062F3B9E"/>
    <w:rsid w:val="069375D7"/>
    <w:rsid w:val="06B44250"/>
    <w:rsid w:val="06F86E33"/>
    <w:rsid w:val="06F92571"/>
    <w:rsid w:val="072A6070"/>
    <w:rsid w:val="07941252"/>
    <w:rsid w:val="07CF503D"/>
    <w:rsid w:val="080C4E50"/>
    <w:rsid w:val="081362F1"/>
    <w:rsid w:val="083571DA"/>
    <w:rsid w:val="085871DF"/>
    <w:rsid w:val="0895664C"/>
    <w:rsid w:val="089611E9"/>
    <w:rsid w:val="08B75E1A"/>
    <w:rsid w:val="09653244"/>
    <w:rsid w:val="09736C45"/>
    <w:rsid w:val="09A55618"/>
    <w:rsid w:val="09D66300"/>
    <w:rsid w:val="09D9264A"/>
    <w:rsid w:val="09D92F4C"/>
    <w:rsid w:val="09FE7EED"/>
    <w:rsid w:val="0A2C4EEA"/>
    <w:rsid w:val="0A34629B"/>
    <w:rsid w:val="0A9E590F"/>
    <w:rsid w:val="0AB789D0"/>
    <w:rsid w:val="0B3E535D"/>
    <w:rsid w:val="0B815AD3"/>
    <w:rsid w:val="0BD12EEB"/>
    <w:rsid w:val="0BF70169"/>
    <w:rsid w:val="0BFB189F"/>
    <w:rsid w:val="0CAE6BA1"/>
    <w:rsid w:val="0D771552"/>
    <w:rsid w:val="0DB06497"/>
    <w:rsid w:val="0DC056EB"/>
    <w:rsid w:val="0E744A25"/>
    <w:rsid w:val="0E995EA0"/>
    <w:rsid w:val="0EB41573"/>
    <w:rsid w:val="0F1F679B"/>
    <w:rsid w:val="0F3A74D1"/>
    <w:rsid w:val="0F525F1B"/>
    <w:rsid w:val="0F5F24EA"/>
    <w:rsid w:val="0FE319CD"/>
    <w:rsid w:val="0FFF9F12"/>
    <w:rsid w:val="10621D00"/>
    <w:rsid w:val="10625635"/>
    <w:rsid w:val="108F6A5A"/>
    <w:rsid w:val="10B30633"/>
    <w:rsid w:val="10B51D8D"/>
    <w:rsid w:val="10B57FC5"/>
    <w:rsid w:val="10B63FE7"/>
    <w:rsid w:val="10BA0134"/>
    <w:rsid w:val="113845BA"/>
    <w:rsid w:val="11441E92"/>
    <w:rsid w:val="11AC5B18"/>
    <w:rsid w:val="11AE3D4F"/>
    <w:rsid w:val="11B67767"/>
    <w:rsid w:val="11F6400C"/>
    <w:rsid w:val="12050515"/>
    <w:rsid w:val="122E5EF2"/>
    <w:rsid w:val="12471992"/>
    <w:rsid w:val="125B2819"/>
    <w:rsid w:val="127B318F"/>
    <w:rsid w:val="12883761"/>
    <w:rsid w:val="12C92FDD"/>
    <w:rsid w:val="12F928B1"/>
    <w:rsid w:val="131679D1"/>
    <w:rsid w:val="134104D7"/>
    <w:rsid w:val="138F0B1F"/>
    <w:rsid w:val="13A838DE"/>
    <w:rsid w:val="13BDCBD8"/>
    <w:rsid w:val="13D91ADE"/>
    <w:rsid w:val="13E40E6B"/>
    <w:rsid w:val="13FF7B05"/>
    <w:rsid w:val="140527B6"/>
    <w:rsid w:val="140F0B88"/>
    <w:rsid w:val="14261574"/>
    <w:rsid w:val="142676D5"/>
    <w:rsid w:val="14A742B4"/>
    <w:rsid w:val="14C10CA0"/>
    <w:rsid w:val="15061295"/>
    <w:rsid w:val="155377FF"/>
    <w:rsid w:val="155E684D"/>
    <w:rsid w:val="157BF6B0"/>
    <w:rsid w:val="15D50CCE"/>
    <w:rsid w:val="15E7700A"/>
    <w:rsid w:val="16013F56"/>
    <w:rsid w:val="16271F06"/>
    <w:rsid w:val="16663935"/>
    <w:rsid w:val="16A036F7"/>
    <w:rsid w:val="16EF5E03"/>
    <w:rsid w:val="16FB5676"/>
    <w:rsid w:val="173E4D36"/>
    <w:rsid w:val="175718CF"/>
    <w:rsid w:val="175D4AA9"/>
    <w:rsid w:val="177048C8"/>
    <w:rsid w:val="17711BD9"/>
    <w:rsid w:val="17BD5C5B"/>
    <w:rsid w:val="17E27218"/>
    <w:rsid w:val="182D4389"/>
    <w:rsid w:val="18413E4D"/>
    <w:rsid w:val="184327D3"/>
    <w:rsid w:val="185F6D12"/>
    <w:rsid w:val="18C94D8B"/>
    <w:rsid w:val="18E7649C"/>
    <w:rsid w:val="190E2B44"/>
    <w:rsid w:val="199B4FE1"/>
    <w:rsid w:val="19C263F8"/>
    <w:rsid w:val="19FE62F0"/>
    <w:rsid w:val="1A044015"/>
    <w:rsid w:val="1A046C0D"/>
    <w:rsid w:val="1A057D8D"/>
    <w:rsid w:val="1A0D279E"/>
    <w:rsid w:val="1A3F9F7D"/>
    <w:rsid w:val="1A497C7A"/>
    <w:rsid w:val="1AD613F2"/>
    <w:rsid w:val="1B227615"/>
    <w:rsid w:val="1B511616"/>
    <w:rsid w:val="1B58685C"/>
    <w:rsid w:val="1BA62EAA"/>
    <w:rsid w:val="1BDCB6E9"/>
    <w:rsid w:val="1BF703AA"/>
    <w:rsid w:val="1C1C1634"/>
    <w:rsid w:val="1C8F056C"/>
    <w:rsid w:val="1CBF2389"/>
    <w:rsid w:val="1D2642A2"/>
    <w:rsid w:val="1D67091D"/>
    <w:rsid w:val="1D805496"/>
    <w:rsid w:val="1D8D39D3"/>
    <w:rsid w:val="1DAE60E3"/>
    <w:rsid w:val="1DAF6468"/>
    <w:rsid w:val="1DBA748F"/>
    <w:rsid w:val="1DDF74D3"/>
    <w:rsid w:val="1DF23309"/>
    <w:rsid w:val="1DF31018"/>
    <w:rsid w:val="1E317884"/>
    <w:rsid w:val="1EA32A9E"/>
    <w:rsid w:val="1EA93669"/>
    <w:rsid w:val="1EB3F648"/>
    <w:rsid w:val="1ED12EB2"/>
    <w:rsid w:val="1EF36406"/>
    <w:rsid w:val="1F1C65E7"/>
    <w:rsid w:val="1F2C1918"/>
    <w:rsid w:val="1F354CE6"/>
    <w:rsid w:val="1F37760C"/>
    <w:rsid w:val="1F446863"/>
    <w:rsid w:val="1FA26A52"/>
    <w:rsid w:val="1FA50895"/>
    <w:rsid w:val="1FBA4833"/>
    <w:rsid w:val="1FCD346F"/>
    <w:rsid w:val="1FFFD43B"/>
    <w:rsid w:val="201178DD"/>
    <w:rsid w:val="2033711F"/>
    <w:rsid w:val="204020D4"/>
    <w:rsid w:val="2059573C"/>
    <w:rsid w:val="205C5FC3"/>
    <w:rsid w:val="208F5022"/>
    <w:rsid w:val="20BC753E"/>
    <w:rsid w:val="20C1731F"/>
    <w:rsid w:val="20DF6718"/>
    <w:rsid w:val="20EF0631"/>
    <w:rsid w:val="20F274BF"/>
    <w:rsid w:val="21570ECE"/>
    <w:rsid w:val="219A6D4B"/>
    <w:rsid w:val="21E16E4F"/>
    <w:rsid w:val="21E24F38"/>
    <w:rsid w:val="21F71DCC"/>
    <w:rsid w:val="221069A8"/>
    <w:rsid w:val="22D059CE"/>
    <w:rsid w:val="23264FFC"/>
    <w:rsid w:val="23496F3C"/>
    <w:rsid w:val="234C7096"/>
    <w:rsid w:val="237B688C"/>
    <w:rsid w:val="23E439FC"/>
    <w:rsid w:val="23F809FE"/>
    <w:rsid w:val="23FC665A"/>
    <w:rsid w:val="24066D2C"/>
    <w:rsid w:val="24274DDF"/>
    <w:rsid w:val="24375102"/>
    <w:rsid w:val="24727D80"/>
    <w:rsid w:val="24735B42"/>
    <w:rsid w:val="24BC729A"/>
    <w:rsid w:val="24CF3471"/>
    <w:rsid w:val="2551032A"/>
    <w:rsid w:val="25611E06"/>
    <w:rsid w:val="259E69F8"/>
    <w:rsid w:val="25A2509F"/>
    <w:rsid w:val="25C33E1E"/>
    <w:rsid w:val="26251365"/>
    <w:rsid w:val="269909FD"/>
    <w:rsid w:val="26E51054"/>
    <w:rsid w:val="273722E0"/>
    <w:rsid w:val="273D2914"/>
    <w:rsid w:val="2765745C"/>
    <w:rsid w:val="27947941"/>
    <w:rsid w:val="279704A8"/>
    <w:rsid w:val="279938C3"/>
    <w:rsid w:val="27B506FD"/>
    <w:rsid w:val="27E47234"/>
    <w:rsid w:val="27F03E2A"/>
    <w:rsid w:val="280C6158"/>
    <w:rsid w:val="28683AA6"/>
    <w:rsid w:val="287C746C"/>
    <w:rsid w:val="28A56619"/>
    <w:rsid w:val="28D46E1C"/>
    <w:rsid w:val="28DD1729"/>
    <w:rsid w:val="28E67399"/>
    <w:rsid w:val="28F46DDD"/>
    <w:rsid w:val="29043DF2"/>
    <w:rsid w:val="29661CE3"/>
    <w:rsid w:val="29894E8E"/>
    <w:rsid w:val="298A3268"/>
    <w:rsid w:val="2A0D0CC4"/>
    <w:rsid w:val="2A4A3EF3"/>
    <w:rsid w:val="2A585CB7"/>
    <w:rsid w:val="2A6738D4"/>
    <w:rsid w:val="2AF10FA1"/>
    <w:rsid w:val="2B055AF2"/>
    <w:rsid w:val="2B3B7CA7"/>
    <w:rsid w:val="2B9F6EA7"/>
    <w:rsid w:val="2BBD50AB"/>
    <w:rsid w:val="2BC06B7A"/>
    <w:rsid w:val="2BD351A1"/>
    <w:rsid w:val="2C9F4D08"/>
    <w:rsid w:val="2CE0417A"/>
    <w:rsid w:val="2D0432DB"/>
    <w:rsid w:val="2D291EE3"/>
    <w:rsid w:val="2D352F66"/>
    <w:rsid w:val="2DB17785"/>
    <w:rsid w:val="2DCE63C1"/>
    <w:rsid w:val="2DD438A6"/>
    <w:rsid w:val="2DD83397"/>
    <w:rsid w:val="2DF40BBB"/>
    <w:rsid w:val="2DF7A9AB"/>
    <w:rsid w:val="2DFFA653"/>
    <w:rsid w:val="2E5642BC"/>
    <w:rsid w:val="2EC91C7D"/>
    <w:rsid w:val="2ED74D93"/>
    <w:rsid w:val="2EF466AA"/>
    <w:rsid w:val="2F0D61F2"/>
    <w:rsid w:val="2F1E127D"/>
    <w:rsid w:val="2F3236C9"/>
    <w:rsid w:val="2F511653"/>
    <w:rsid w:val="2F627BA0"/>
    <w:rsid w:val="2FE97F07"/>
    <w:rsid w:val="2FFB4CAF"/>
    <w:rsid w:val="2FFE2EEC"/>
    <w:rsid w:val="2FFFB7E6"/>
    <w:rsid w:val="300E150D"/>
    <w:rsid w:val="303B4229"/>
    <w:rsid w:val="30405223"/>
    <w:rsid w:val="3046366C"/>
    <w:rsid w:val="305C64BA"/>
    <w:rsid w:val="306B0988"/>
    <w:rsid w:val="30F46739"/>
    <w:rsid w:val="31066CF9"/>
    <w:rsid w:val="31357814"/>
    <w:rsid w:val="31591197"/>
    <w:rsid w:val="31643B85"/>
    <w:rsid w:val="318179CD"/>
    <w:rsid w:val="31BF5324"/>
    <w:rsid w:val="3205452F"/>
    <w:rsid w:val="322741C4"/>
    <w:rsid w:val="32291393"/>
    <w:rsid w:val="32812C4F"/>
    <w:rsid w:val="32B67BB7"/>
    <w:rsid w:val="32C32988"/>
    <w:rsid w:val="32DF79D1"/>
    <w:rsid w:val="32E770FA"/>
    <w:rsid w:val="33C522AF"/>
    <w:rsid w:val="33E660E2"/>
    <w:rsid w:val="341C6850"/>
    <w:rsid w:val="344A48C2"/>
    <w:rsid w:val="34520F09"/>
    <w:rsid w:val="348C0FCF"/>
    <w:rsid w:val="34936868"/>
    <w:rsid w:val="34D9245E"/>
    <w:rsid w:val="34DE192B"/>
    <w:rsid w:val="35121AF5"/>
    <w:rsid w:val="352466F0"/>
    <w:rsid w:val="355A28E3"/>
    <w:rsid w:val="3579545F"/>
    <w:rsid w:val="357BB43F"/>
    <w:rsid w:val="3590064D"/>
    <w:rsid w:val="35972389"/>
    <w:rsid w:val="35DC6642"/>
    <w:rsid w:val="3615445A"/>
    <w:rsid w:val="364C2B74"/>
    <w:rsid w:val="36AF4EB1"/>
    <w:rsid w:val="36C00630"/>
    <w:rsid w:val="36D153FE"/>
    <w:rsid w:val="36FE59E4"/>
    <w:rsid w:val="371925D5"/>
    <w:rsid w:val="37B56083"/>
    <w:rsid w:val="37B81D5C"/>
    <w:rsid w:val="37D738BC"/>
    <w:rsid w:val="37EBEC18"/>
    <w:rsid w:val="37F30D40"/>
    <w:rsid w:val="37F50426"/>
    <w:rsid w:val="37FBD695"/>
    <w:rsid w:val="3847616C"/>
    <w:rsid w:val="386C6580"/>
    <w:rsid w:val="388F785D"/>
    <w:rsid w:val="38981D23"/>
    <w:rsid w:val="38A0190D"/>
    <w:rsid w:val="38C62D46"/>
    <w:rsid w:val="39671A73"/>
    <w:rsid w:val="397A17A6"/>
    <w:rsid w:val="39A75485"/>
    <w:rsid w:val="39A84565"/>
    <w:rsid w:val="39B41D9E"/>
    <w:rsid w:val="39BA52B7"/>
    <w:rsid w:val="39E63DFB"/>
    <w:rsid w:val="3A0056AE"/>
    <w:rsid w:val="3A0353F9"/>
    <w:rsid w:val="3A204BB2"/>
    <w:rsid w:val="3A3C11E2"/>
    <w:rsid w:val="3A5946FA"/>
    <w:rsid w:val="3A6F6E31"/>
    <w:rsid w:val="3AB74334"/>
    <w:rsid w:val="3ADA755C"/>
    <w:rsid w:val="3AED7D56"/>
    <w:rsid w:val="3AFA03AE"/>
    <w:rsid w:val="3B7928B4"/>
    <w:rsid w:val="3BD748E2"/>
    <w:rsid w:val="3BF03AFE"/>
    <w:rsid w:val="3BFEA3B2"/>
    <w:rsid w:val="3BFFD740"/>
    <w:rsid w:val="3C0812EB"/>
    <w:rsid w:val="3C2B163D"/>
    <w:rsid w:val="3C617DE3"/>
    <w:rsid w:val="3C66006F"/>
    <w:rsid w:val="3C7F267C"/>
    <w:rsid w:val="3C9E19AF"/>
    <w:rsid w:val="3CA628B2"/>
    <w:rsid w:val="3CAA1E7A"/>
    <w:rsid w:val="3CB52AEC"/>
    <w:rsid w:val="3CC216C2"/>
    <w:rsid w:val="3CF007C6"/>
    <w:rsid w:val="3D18621D"/>
    <w:rsid w:val="3D40344E"/>
    <w:rsid w:val="3D851284"/>
    <w:rsid w:val="3D86265B"/>
    <w:rsid w:val="3D994F06"/>
    <w:rsid w:val="3E0755D2"/>
    <w:rsid w:val="3E3F1F99"/>
    <w:rsid w:val="3E5BE765"/>
    <w:rsid w:val="3E7F33BB"/>
    <w:rsid w:val="3E8035D1"/>
    <w:rsid w:val="3E9E6C65"/>
    <w:rsid w:val="3EAF835D"/>
    <w:rsid w:val="3EB8507F"/>
    <w:rsid w:val="3EDC5426"/>
    <w:rsid w:val="3F2D5E1F"/>
    <w:rsid w:val="3F6738EF"/>
    <w:rsid w:val="3F80203C"/>
    <w:rsid w:val="3FC85406"/>
    <w:rsid w:val="3FCA5133"/>
    <w:rsid w:val="3FCF2F05"/>
    <w:rsid w:val="3FDB23E2"/>
    <w:rsid w:val="3FDCC736"/>
    <w:rsid w:val="3FDE5C42"/>
    <w:rsid w:val="3FF04570"/>
    <w:rsid w:val="3FFB2204"/>
    <w:rsid w:val="3FFBED51"/>
    <w:rsid w:val="3FFF477D"/>
    <w:rsid w:val="3FFF4FA3"/>
    <w:rsid w:val="3FFFB27B"/>
    <w:rsid w:val="3FFFB741"/>
    <w:rsid w:val="40053871"/>
    <w:rsid w:val="401D2E8B"/>
    <w:rsid w:val="408E5BBB"/>
    <w:rsid w:val="410F2D65"/>
    <w:rsid w:val="4128236B"/>
    <w:rsid w:val="41595546"/>
    <w:rsid w:val="41647554"/>
    <w:rsid w:val="41C33159"/>
    <w:rsid w:val="41D27C5B"/>
    <w:rsid w:val="42411BEF"/>
    <w:rsid w:val="42521512"/>
    <w:rsid w:val="42724679"/>
    <w:rsid w:val="42770F78"/>
    <w:rsid w:val="438371F2"/>
    <w:rsid w:val="43981CFF"/>
    <w:rsid w:val="43D9356D"/>
    <w:rsid w:val="443B60E6"/>
    <w:rsid w:val="446044F5"/>
    <w:rsid w:val="44604E49"/>
    <w:rsid w:val="44A81D6E"/>
    <w:rsid w:val="44C57A4F"/>
    <w:rsid w:val="450C3419"/>
    <w:rsid w:val="452E34A4"/>
    <w:rsid w:val="455455A1"/>
    <w:rsid w:val="4565349C"/>
    <w:rsid w:val="45D3430D"/>
    <w:rsid w:val="45E306D3"/>
    <w:rsid w:val="45F62591"/>
    <w:rsid w:val="45F97FD5"/>
    <w:rsid w:val="46116FEE"/>
    <w:rsid w:val="462555FD"/>
    <w:rsid w:val="46327EBE"/>
    <w:rsid w:val="466B0DF4"/>
    <w:rsid w:val="46BB1931"/>
    <w:rsid w:val="46BE3F95"/>
    <w:rsid w:val="471C644B"/>
    <w:rsid w:val="472B68CF"/>
    <w:rsid w:val="47642BD9"/>
    <w:rsid w:val="4789733D"/>
    <w:rsid w:val="479F4E03"/>
    <w:rsid w:val="47AF4FA0"/>
    <w:rsid w:val="47E02162"/>
    <w:rsid w:val="47E84213"/>
    <w:rsid w:val="48072FCF"/>
    <w:rsid w:val="481B23A6"/>
    <w:rsid w:val="4820176A"/>
    <w:rsid w:val="4843226E"/>
    <w:rsid w:val="484C06A8"/>
    <w:rsid w:val="484F3626"/>
    <w:rsid w:val="48591E75"/>
    <w:rsid w:val="487E46E3"/>
    <w:rsid w:val="489F4FB1"/>
    <w:rsid w:val="48B31D3C"/>
    <w:rsid w:val="48F20016"/>
    <w:rsid w:val="49270D83"/>
    <w:rsid w:val="494816CE"/>
    <w:rsid w:val="49650C33"/>
    <w:rsid w:val="497A21EE"/>
    <w:rsid w:val="49840DA8"/>
    <w:rsid w:val="49A81A17"/>
    <w:rsid w:val="49AB1508"/>
    <w:rsid w:val="4A0A0924"/>
    <w:rsid w:val="4A3F081B"/>
    <w:rsid w:val="4A4756D4"/>
    <w:rsid w:val="4A680574"/>
    <w:rsid w:val="4A7F5B34"/>
    <w:rsid w:val="4A943CB1"/>
    <w:rsid w:val="4AA46242"/>
    <w:rsid w:val="4AAF68B9"/>
    <w:rsid w:val="4AB221D7"/>
    <w:rsid w:val="4B427C12"/>
    <w:rsid w:val="4B69298C"/>
    <w:rsid w:val="4B7D45E0"/>
    <w:rsid w:val="4B8C7964"/>
    <w:rsid w:val="4BC823E6"/>
    <w:rsid w:val="4C6E00F6"/>
    <w:rsid w:val="4CAF212E"/>
    <w:rsid w:val="4CE566B4"/>
    <w:rsid w:val="4CEB7D90"/>
    <w:rsid w:val="4D3832F6"/>
    <w:rsid w:val="4D7A36CB"/>
    <w:rsid w:val="4DAF77C9"/>
    <w:rsid w:val="4E05215C"/>
    <w:rsid w:val="4E160842"/>
    <w:rsid w:val="4E27C594"/>
    <w:rsid w:val="4E3008AC"/>
    <w:rsid w:val="4E3F1452"/>
    <w:rsid w:val="4E5D049D"/>
    <w:rsid w:val="4E7509DA"/>
    <w:rsid w:val="4E824F2D"/>
    <w:rsid w:val="4ED1B082"/>
    <w:rsid w:val="4EDF237F"/>
    <w:rsid w:val="4F052B8C"/>
    <w:rsid w:val="4F747FF0"/>
    <w:rsid w:val="4FA3437D"/>
    <w:rsid w:val="4FEC7FD1"/>
    <w:rsid w:val="4FFF6ADE"/>
    <w:rsid w:val="4FFF7EDB"/>
    <w:rsid w:val="50302767"/>
    <w:rsid w:val="50444D71"/>
    <w:rsid w:val="50450551"/>
    <w:rsid w:val="504A7CCC"/>
    <w:rsid w:val="505B5F62"/>
    <w:rsid w:val="507426CB"/>
    <w:rsid w:val="50C10258"/>
    <w:rsid w:val="50DD469C"/>
    <w:rsid w:val="5127441A"/>
    <w:rsid w:val="51374C27"/>
    <w:rsid w:val="514E7348"/>
    <w:rsid w:val="51C47574"/>
    <w:rsid w:val="51CA4095"/>
    <w:rsid w:val="51EF0B98"/>
    <w:rsid w:val="51F07213"/>
    <w:rsid w:val="51F16413"/>
    <w:rsid w:val="51F428F5"/>
    <w:rsid w:val="52443682"/>
    <w:rsid w:val="52503B4A"/>
    <w:rsid w:val="52585749"/>
    <w:rsid w:val="526C33B2"/>
    <w:rsid w:val="526E7386"/>
    <w:rsid w:val="529D3230"/>
    <w:rsid w:val="52CD6993"/>
    <w:rsid w:val="52FE4C28"/>
    <w:rsid w:val="53254EC7"/>
    <w:rsid w:val="53B6355C"/>
    <w:rsid w:val="53BF0089"/>
    <w:rsid w:val="53FE3C9E"/>
    <w:rsid w:val="540C10D5"/>
    <w:rsid w:val="54484223"/>
    <w:rsid w:val="547E254B"/>
    <w:rsid w:val="54A8045F"/>
    <w:rsid w:val="550F5CAE"/>
    <w:rsid w:val="551FE24E"/>
    <w:rsid w:val="552C5BF2"/>
    <w:rsid w:val="55741E38"/>
    <w:rsid w:val="55A95F2B"/>
    <w:rsid w:val="55EDFDFF"/>
    <w:rsid w:val="56014042"/>
    <w:rsid w:val="560172D6"/>
    <w:rsid w:val="560E354A"/>
    <w:rsid w:val="5611206B"/>
    <w:rsid w:val="56144424"/>
    <w:rsid w:val="56464A92"/>
    <w:rsid w:val="56837A94"/>
    <w:rsid w:val="569640F1"/>
    <w:rsid w:val="570455E4"/>
    <w:rsid w:val="577D5967"/>
    <w:rsid w:val="57A62B39"/>
    <w:rsid w:val="57C32F11"/>
    <w:rsid w:val="57F85DDB"/>
    <w:rsid w:val="583A7730"/>
    <w:rsid w:val="58560209"/>
    <w:rsid w:val="586D1958"/>
    <w:rsid w:val="58ED1663"/>
    <w:rsid w:val="58F1ED90"/>
    <w:rsid w:val="59030A18"/>
    <w:rsid w:val="59196CE7"/>
    <w:rsid w:val="59A50052"/>
    <w:rsid w:val="59AA2FB3"/>
    <w:rsid w:val="59B103CD"/>
    <w:rsid w:val="59F22EF4"/>
    <w:rsid w:val="5A071C92"/>
    <w:rsid w:val="5A0C1CDD"/>
    <w:rsid w:val="5A2057D2"/>
    <w:rsid w:val="5A236E98"/>
    <w:rsid w:val="5A3B1765"/>
    <w:rsid w:val="5A435DCA"/>
    <w:rsid w:val="5A6A4AC7"/>
    <w:rsid w:val="5A7B1206"/>
    <w:rsid w:val="5A9C010B"/>
    <w:rsid w:val="5A9C063F"/>
    <w:rsid w:val="5AA46FC7"/>
    <w:rsid w:val="5AAF3CF5"/>
    <w:rsid w:val="5ADD0DE4"/>
    <w:rsid w:val="5BB72AF0"/>
    <w:rsid w:val="5BE61140"/>
    <w:rsid w:val="5BEB7316"/>
    <w:rsid w:val="5BEF03FF"/>
    <w:rsid w:val="5BFB8813"/>
    <w:rsid w:val="5C1628FA"/>
    <w:rsid w:val="5C1C5392"/>
    <w:rsid w:val="5C6A2129"/>
    <w:rsid w:val="5C7B54E5"/>
    <w:rsid w:val="5C910608"/>
    <w:rsid w:val="5CCE30DB"/>
    <w:rsid w:val="5CD56399"/>
    <w:rsid w:val="5CF1B9F8"/>
    <w:rsid w:val="5D3726AA"/>
    <w:rsid w:val="5D463C45"/>
    <w:rsid w:val="5D7FC64E"/>
    <w:rsid w:val="5D883DB6"/>
    <w:rsid w:val="5DDA7609"/>
    <w:rsid w:val="5DFBFEF4"/>
    <w:rsid w:val="5E8C325E"/>
    <w:rsid w:val="5E97FD92"/>
    <w:rsid w:val="5EA902B4"/>
    <w:rsid w:val="5EAD0859"/>
    <w:rsid w:val="5EDB0F93"/>
    <w:rsid w:val="5EFD0682"/>
    <w:rsid w:val="5F453E15"/>
    <w:rsid w:val="5F765F2B"/>
    <w:rsid w:val="5F7F95F1"/>
    <w:rsid w:val="5F8623A3"/>
    <w:rsid w:val="5FBC131B"/>
    <w:rsid w:val="5FBE1B3D"/>
    <w:rsid w:val="5FD2D76D"/>
    <w:rsid w:val="5FDE3F8D"/>
    <w:rsid w:val="5FE82301"/>
    <w:rsid w:val="5FED2193"/>
    <w:rsid w:val="5FEF54B3"/>
    <w:rsid w:val="5FF34664"/>
    <w:rsid w:val="5FFFD592"/>
    <w:rsid w:val="6009351C"/>
    <w:rsid w:val="60120831"/>
    <w:rsid w:val="6022031E"/>
    <w:rsid w:val="604D7335"/>
    <w:rsid w:val="60E03D35"/>
    <w:rsid w:val="611C5181"/>
    <w:rsid w:val="613C1A70"/>
    <w:rsid w:val="61637A2E"/>
    <w:rsid w:val="621023F8"/>
    <w:rsid w:val="6224205C"/>
    <w:rsid w:val="62251829"/>
    <w:rsid w:val="62342704"/>
    <w:rsid w:val="626E4BF7"/>
    <w:rsid w:val="6317654A"/>
    <w:rsid w:val="639B3111"/>
    <w:rsid w:val="639D7CBB"/>
    <w:rsid w:val="63D062E3"/>
    <w:rsid w:val="63ED1918"/>
    <w:rsid w:val="63FB6074"/>
    <w:rsid w:val="6426520A"/>
    <w:rsid w:val="644F443F"/>
    <w:rsid w:val="6473731B"/>
    <w:rsid w:val="6485652F"/>
    <w:rsid w:val="649E62A3"/>
    <w:rsid w:val="64B82930"/>
    <w:rsid w:val="64D2592A"/>
    <w:rsid w:val="65011959"/>
    <w:rsid w:val="651E15F9"/>
    <w:rsid w:val="655E476C"/>
    <w:rsid w:val="65BA2034"/>
    <w:rsid w:val="66087955"/>
    <w:rsid w:val="66100A81"/>
    <w:rsid w:val="66131DBC"/>
    <w:rsid w:val="6658466F"/>
    <w:rsid w:val="66861C89"/>
    <w:rsid w:val="66FFA21E"/>
    <w:rsid w:val="67121A3D"/>
    <w:rsid w:val="676FAF7B"/>
    <w:rsid w:val="6772280C"/>
    <w:rsid w:val="67ADD1FB"/>
    <w:rsid w:val="67B81568"/>
    <w:rsid w:val="680B78E9"/>
    <w:rsid w:val="68775AEB"/>
    <w:rsid w:val="688C3610"/>
    <w:rsid w:val="68A57BB1"/>
    <w:rsid w:val="68FE11FC"/>
    <w:rsid w:val="69370CF4"/>
    <w:rsid w:val="694806C9"/>
    <w:rsid w:val="69757E8F"/>
    <w:rsid w:val="69936673"/>
    <w:rsid w:val="699A7177"/>
    <w:rsid w:val="69B33D95"/>
    <w:rsid w:val="69BC7EFD"/>
    <w:rsid w:val="69BF2F93"/>
    <w:rsid w:val="69CB1C88"/>
    <w:rsid w:val="69D224E9"/>
    <w:rsid w:val="69EC70B7"/>
    <w:rsid w:val="69F44416"/>
    <w:rsid w:val="6A010FA4"/>
    <w:rsid w:val="6A132A85"/>
    <w:rsid w:val="6A651868"/>
    <w:rsid w:val="6A6A2750"/>
    <w:rsid w:val="6A7FFCBA"/>
    <w:rsid w:val="6AF759E6"/>
    <w:rsid w:val="6B096F3D"/>
    <w:rsid w:val="6B753082"/>
    <w:rsid w:val="6B8A321B"/>
    <w:rsid w:val="6BF80185"/>
    <w:rsid w:val="6C354F35"/>
    <w:rsid w:val="6C804FCC"/>
    <w:rsid w:val="6CC74597"/>
    <w:rsid w:val="6D5D02C5"/>
    <w:rsid w:val="6D622847"/>
    <w:rsid w:val="6D7777CF"/>
    <w:rsid w:val="6DC742B3"/>
    <w:rsid w:val="6DF74635"/>
    <w:rsid w:val="6DFE7845"/>
    <w:rsid w:val="6DFEF639"/>
    <w:rsid w:val="6DFF702B"/>
    <w:rsid w:val="6E2B0CC3"/>
    <w:rsid w:val="6E672CEE"/>
    <w:rsid w:val="6EBFE127"/>
    <w:rsid w:val="6EED6DA8"/>
    <w:rsid w:val="6EEF0EC1"/>
    <w:rsid w:val="6EEF2630"/>
    <w:rsid w:val="6F1B2537"/>
    <w:rsid w:val="6F5FD233"/>
    <w:rsid w:val="6F805052"/>
    <w:rsid w:val="6FB7B11C"/>
    <w:rsid w:val="6FDC5869"/>
    <w:rsid w:val="6FEE67C4"/>
    <w:rsid w:val="6FF90556"/>
    <w:rsid w:val="6FFB7728"/>
    <w:rsid w:val="6FFE613F"/>
    <w:rsid w:val="70352AD7"/>
    <w:rsid w:val="708EE3A8"/>
    <w:rsid w:val="70A2597A"/>
    <w:rsid w:val="70B372B7"/>
    <w:rsid w:val="70BD7BEF"/>
    <w:rsid w:val="711B1946"/>
    <w:rsid w:val="71494FDF"/>
    <w:rsid w:val="71685B36"/>
    <w:rsid w:val="718100F9"/>
    <w:rsid w:val="71A727FD"/>
    <w:rsid w:val="71A93C88"/>
    <w:rsid w:val="71C72AD3"/>
    <w:rsid w:val="71DBEA2E"/>
    <w:rsid w:val="71F570D2"/>
    <w:rsid w:val="71FA6AD9"/>
    <w:rsid w:val="724E3E9B"/>
    <w:rsid w:val="725E37E2"/>
    <w:rsid w:val="730438B3"/>
    <w:rsid w:val="73231C8D"/>
    <w:rsid w:val="73522ED6"/>
    <w:rsid w:val="73882C49"/>
    <w:rsid w:val="739F0800"/>
    <w:rsid w:val="73CD3953"/>
    <w:rsid w:val="73FF4E88"/>
    <w:rsid w:val="757D1812"/>
    <w:rsid w:val="75DE6CED"/>
    <w:rsid w:val="75FF352D"/>
    <w:rsid w:val="7603BAEE"/>
    <w:rsid w:val="765F0C0C"/>
    <w:rsid w:val="765F661E"/>
    <w:rsid w:val="768C7DDA"/>
    <w:rsid w:val="76A61C76"/>
    <w:rsid w:val="76FC6F59"/>
    <w:rsid w:val="77075E0A"/>
    <w:rsid w:val="772C10B5"/>
    <w:rsid w:val="7758241F"/>
    <w:rsid w:val="775FE81C"/>
    <w:rsid w:val="776B1611"/>
    <w:rsid w:val="776D2958"/>
    <w:rsid w:val="776F33B9"/>
    <w:rsid w:val="7797BADA"/>
    <w:rsid w:val="779F2860"/>
    <w:rsid w:val="77D94632"/>
    <w:rsid w:val="77DF1E64"/>
    <w:rsid w:val="77EF10D6"/>
    <w:rsid w:val="77FF24E9"/>
    <w:rsid w:val="782236A8"/>
    <w:rsid w:val="784745AF"/>
    <w:rsid w:val="787C08A6"/>
    <w:rsid w:val="78A31810"/>
    <w:rsid w:val="78D67AA0"/>
    <w:rsid w:val="78E97B0F"/>
    <w:rsid w:val="78F32400"/>
    <w:rsid w:val="78F63C9E"/>
    <w:rsid w:val="78FF4A85"/>
    <w:rsid w:val="7927DB44"/>
    <w:rsid w:val="79372476"/>
    <w:rsid w:val="79B17D66"/>
    <w:rsid w:val="79D044EF"/>
    <w:rsid w:val="79E78964"/>
    <w:rsid w:val="7A21330E"/>
    <w:rsid w:val="7A314AB8"/>
    <w:rsid w:val="7A516879"/>
    <w:rsid w:val="7A54157E"/>
    <w:rsid w:val="7AAD4493"/>
    <w:rsid w:val="7ABF6FE3"/>
    <w:rsid w:val="7AD7365B"/>
    <w:rsid w:val="7B7716AE"/>
    <w:rsid w:val="7B8A5133"/>
    <w:rsid w:val="7B8A5D04"/>
    <w:rsid w:val="7BADB440"/>
    <w:rsid w:val="7BBD4F47"/>
    <w:rsid w:val="7BF22A1F"/>
    <w:rsid w:val="7BF7E808"/>
    <w:rsid w:val="7BF8400C"/>
    <w:rsid w:val="7C087B98"/>
    <w:rsid w:val="7C19076F"/>
    <w:rsid w:val="7C6F5CB9"/>
    <w:rsid w:val="7C7F13AE"/>
    <w:rsid w:val="7C85658C"/>
    <w:rsid w:val="7D023157"/>
    <w:rsid w:val="7D0904D8"/>
    <w:rsid w:val="7D0F3580"/>
    <w:rsid w:val="7D281BBB"/>
    <w:rsid w:val="7D345BC3"/>
    <w:rsid w:val="7D394B0A"/>
    <w:rsid w:val="7D777F6F"/>
    <w:rsid w:val="7D8E55B0"/>
    <w:rsid w:val="7D950E9C"/>
    <w:rsid w:val="7D9C12B8"/>
    <w:rsid w:val="7DA75DE7"/>
    <w:rsid w:val="7DA86D33"/>
    <w:rsid w:val="7DAF0AF1"/>
    <w:rsid w:val="7DBD0F27"/>
    <w:rsid w:val="7DCCFB18"/>
    <w:rsid w:val="7DCE45E7"/>
    <w:rsid w:val="7DFFB07C"/>
    <w:rsid w:val="7E151F41"/>
    <w:rsid w:val="7E2A59DB"/>
    <w:rsid w:val="7E584AB3"/>
    <w:rsid w:val="7E747F3A"/>
    <w:rsid w:val="7E7B8EEE"/>
    <w:rsid w:val="7EC12B11"/>
    <w:rsid w:val="7ECF9303"/>
    <w:rsid w:val="7ED64B5D"/>
    <w:rsid w:val="7ED7B926"/>
    <w:rsid w:val="7EE30820"/>
    <w:rsid w:val="7EEF683B"/>
    <w:rsid w:val="7EFD6BC1"/>
    <w:rsid w:val="7F4D213E"/>
    <w:rsid w:val="7F5F5C29"/>
    <w:rsid w:val="7F686F78"/>
    <w:rsid w:val="7F6C378D"/>
    <w:rsid w:val="7F76F44A"/>
    <w:rsid w:val="7F77D2E5"/>
    <w:rsid w:val="7F7F5522"/>
    <w:rsid w:val="7F7F7B94"/>
    <w:rsid w:val="7F7F906C"/>
    <w:rsid w:val="7F7FF9DB"/>
    <w:rsid w:val="7F8525F4"/>
    <w:rsid w:val="7F871902"/>
    <w:rsid w:val="7F8958BB"/>
    <w:rsid w:val="7FB42B12"/>
    <w:rsid w:val="7FB5FD2F"/>
    <w:rsid w:val="7FBFA364"/>
    <w:rsid w:val="7FBFDE54"/>
    <w:rsid w:val="7FD3565B"/>
    <w:rsid w:val="7FDD1714"/>
    <w:rsid w:val="7FDD4BA8"/>
    <w:rsid w:val="7FE07F1C"/>
    <w:rsid w:val="7FF5F862"/>
    <w:rsid w:val="7FF74F5E"/>
    <w:rsid w:val="7FF78C4D"/>
    <w:rsid w:val="7FF7B83F"/>
    <w:rsid w:val="7FF7C1C9"/>
    <w:rsid w:val="7FFD66F6"/>
    <w:rsid w:val="7FFFE42F"/>
    <w:rsid w:val="7FFFEEA2"/>
    <w:rsid w:val="837C0AF3"/>
    <w:rsid w:val="87F8B843"/>
    <w:rsid w:val="8DEF8D21"/>
    <w:rsid w:val="8FFF4AF5"/>
    <w:rsid w:val="90DEE6CB"/>
    <w:rsid w:val="93BFBECC"/>
    <w:rsid w:val="95BF870E"/>
    <w:rsid w:val="97B7DF0C"/>
    <w:rsid w:val="97E7E8E0"/>
    <w:rsid w:val="97EE0FD1"/>
    <w:rsid w:val="98B9BE5C"/>
    <w:rsid w:val="9ADA9966"/>
    <w:rsid w:val="9BCAC1F7"/>
    <w:rsid w:val="9DF71E6B"/>
    <w:rsid w:val="9E7F29AF"/>
    <w:rsid w:val="9EFB74FC"/>
    <w:rsid w:val="9F3EB888"/>
    <w:rsid w:val="9FBF0F46"/>
    <w:rsid w:val="9FF6B454"/>
    <w:rsid w:val="9FFB8353"/>
    <w:rsid w:val="A4AE2405"/>
    <w:rsid w:val="A5FF9F33"/>
    <w:rsid w:val="A7DFE98C"/>
    <w:rsid w:val="A9FFCEB7"/>
    <w:rsid w:val="AB9F2168"/>
    <w:rsid w:val="AC671B95"/>
    <w:rsid w:val="AFD78710"/>
    <w:rsid w:val="AFDF8047"/>
    <w:rsid w:val="B2D7CB69"/>
    <w:rsid w:val="B6BFDC13"/>
    <w:rsid w:val="B6DEF4FA"/>
    <w:rsid w:val="B7AFE429"/>
    <w:rsid w:val="B7FF007B"/>
    <w:rsid w:val="BAE9A11A"/>
    <w:rsid w:val="BCDF6741"/>
    <w:rsid w:val="BD6767A3"/>
    <w:rsid w:val="BDEAEDBA"/>
    <w:rsid w:val="BE72F511"/>
    <w:rsid w:val="BF6DC08F"/>
    <w:rsid w:val="BF6F13C7"/>
    <w:rsid w:val="BF770D2C"/>
    <w:rsid w:val="BFB72F30"/>
    <w:rsid w:val="BFE98F2B"/>
    <w:rsid w:val="C67FF13F"/>
    <w:rsid w:val="C95DAF94"/>
    <w:rsid w:val="C9FEE08D"/>
    <w:rsid w:val="CBE21DD4"/>
    <w:rsid w:val="CEFC6DD9"/>
    <w:rsid w:val="CFD1D899"/>
    <w:rsid w:val="D1BBEE6D"/>
    <w:rsid w:val="D33FD13B"/>
    <w:rsid w:val="D4754802"/>
    <w:rsid w:val="D4FF59A7"/>
    <w:rsid w:val="D52D2A63"/>
    <w:rsid w:val="D5BF690C"/>
    <w:rsid w:val="D5CA0626"/>
    <w:rsid w:val="D77F05A0"/>
    <w:rsid w:val="D7CF4BC1"/>
    <w:rsid w:val="D7D59FBB"/>
    <w:rsid w:val="D7DD9A5B"/>
    <w:rsid w:val="D7DE7729"/>
    <w:rsid w:val="DB6C630B"/>
    <w:rsid w:val="DBDD0FE4"/>
    <w:rsid w:val="DBFC9802"/>
    <w:rsid w:val="DD758062"/>
    <w:rsid w:val="DEEFF4A1"/>
    <w:rsid w:val="DF0F6EDB"/>
    <w:rsid w:val="DF1B309B"/>
    <w:rsid w:val="DF73E714"/>
    <w:rsid w:val="DFAF1586"/>
    <w:rsid w:val="DFBB975A"/>
    <w:rsid w:val="DFBF711B"/>
    <w:rsid w:val="DFEFA943"/>
    <w:rsid w:val="E1A357F7"/>
    <w:rsid w:val="E35F21E6"/>
    <w:rsid w:val="E4DFC4A9"/>
    <w:rsid w:val="E4F9BA2D"/>
    <w:rsid w:val="E6D7BDFF"/>
    <w:rsid w:val="E6EF2D19"/>
    <w:rsid w:val="E75B17EB"/>
    <w:rsid w:val="E7F30657"/>
    <w:rsid w:val="E9F71EFB"/>
    <w:rsid w:val="EAD5D393"/>
    <w:rsid w:val="EBF11A96"/>
    <w:rsid w:val="EBF6AE6D"/>
    <w:rsid w:val="ECDF24AA"/>
    <w:rsid w:val="ECF7CEDA"/>
    <w:rsid w:val="ED6F829B"/>
    <w:rsid w:val="ED8DA834"/>
    <w:rsid w:val="ED9AFD07"/>
    <w:rsid w:val="EDB3839F"/>
    <w:rsid w:val="EDD6C761"/>
    <w:rsid w:val="EDDF3AA7"/>
    <w:rsid w:val="EDFF1A10"/>
    <w:rsid w:val="EE1B1F9A"/>
    <w:rsid w:val="EEEE744D"/>
    <w:rsid w:val="EF7DD4C8"/>
    <w:rsid w:val="EFA703BF"/>
    <w:rsid w:val="EFFEE838"/>
    <w:rsid w:val="EFFF2873"/>
    <w:rsid w:val="EFFFF4E5"/>
    <w:rsid w:val="F0FF1E0D"/>
    <w:rsid w:val="F1FEF225"/>
    <w:rsid w:val="F37FECF1"/>
    <w:rsid w:val="F389C9FC"/>
    <w:rsid w:val="F53B079D"/>
    <w:rsid w:val="F5BF316F"/>
    <w:rsid w:val="F5FD8C82"/>
    <w:rsid w:val="F67B906E"/>
    <w:rsid w:val="F6A77C6F"/>
    <w:rsid w:val="F6B70E82"/>
    <w:rsid w:val="F6EDFD18"/>
    <w:rsid w:val="F76BE563"/>
    <w:rsid w:val="F7B63CAA"/>
    <w:rsid w:val="F7BBD4B1"/>
    <w:rsid w:val="F7BE4C13"/>
    <w:rsid w:val="F7EFA6DF"/>
    <w:rsid w:val="F7FB04DD"/>
    <w:rsid w:val="F7FF33B7"/>
    <w:rsid w:val="F8F7CD50"/>
    <w:rsid w:val="F8FE46AF"/>
    <w:rsid w:val="F937093B"/>
    <w:rsid w:val="F9BD9ECF"/>
    <w:rsid w:val="FACF961E"/>
    <w:rsid w:val="FAFFE9A6"/>
    <w:rsid w:val="FB5B04F4"/>
    <w:rsid w:val="FBDD169C"/>
    <w:rsid w:val="FBED1287"/>
    <w:rsid w:val="FC85F2B3"/>
    <w:rsid w:val="FCBB2C20"/>
    <w:rsid w:val="FCEEAE4C"/>
    <w:rsid w:val="FD6CD2CD"/>
    <w:rsid w:val="FDDBC034"/>
    <w:rsid w:val="FDE6E7BE"/>
    <w:rsid w:val="FDFDFC35"/>
    <w:rsid w:val="FDFF036A"/>
    <w:rsid w:val="FEAB3EEE"/>
    <w:rsid w:val="FEBF8880"/>
    <w:rsid w:val="FED3FD64"/>
    <w:rsid w:val="FED95F8B"/>
    <w:rsid w:val="FEDF9B09"/>
    <w:rsid w:val="FEFB23D9"/>
    <w:rsid w:val="FEFF0958"/>
    <w:rsid w:val="FEFF2A2B"/>
    <w:rsid w:val="FF478E43"/>
    <w:rsid w:val="FF4F7944"/>
    <w:rsid w:val="FF61FD8A"/>
    <w:rsid w:val="FF67377A"/>
    <w:rsid w:val="FF6B75F3"/>
    <w:rsid w:val="FF6EA573"/>
    <w:rsid w:val="FF73DBFD"/>
    <w:rsid w:val="FF773377"/>
    <w:rsid w:val="FF7BE07D"/>
    <w:rsid w:val="FF7FCD74"/>
    <w:rsid w:val="FFA75307"/>
    <w:rsid w:val="FFAFA278"/>
    <w:rsid w:val="FFBFC31B"/>
    <w:rsid w:val="FFCCBA4C"/>
    <w:rsid w:val="FFE2BA41"/>
    <w:rsid w:val="FFFB213F"/>
    <w:rsid w:val="FFFBAA5A"/>
    <w:rsid w:val="FFFBEF18"/>
    <w:rsid w:val="FFFE161C"/>
    <w:rsid w:val="FFFF005E"/>
    <w:rsid w:val="FFFFF5C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9"/>
    <w:pPr>
      <w:keepNext/>
      <w:keepLines/>
      <w:spacing w:before="50" w:beforeLines="50" w:after="50" w:afterLines="50" w:line="540" w:lineRule="exact"/>
      <w:ind w:firstLine="200" w:firstLineChars="200"/>
      <w:outlineLvl w:val="0"/>
    </w:pPr>
    <w:rPr>
      <w:rFonts w:eastAsia="黑体"/>
      <w:b/>
      <w:bCs/>
      <w:kern w:val="44"/>
      <w:sz w:val="32"/>
      <w:szCs w:val="44"/>
    </w:rPr>
  </w:style>
  <w:style w:type="paragraph" w:styleId="5">
    <w:name w:val="heading 2"/>
    <w:basedOn w:val="1"/>
    <w:next w:val="1"/>
    <w:qFormat/>
    <w:uiPriority w:val="9"/>
    <w:pPr>
      <w:keepNext/>
      <w:keepLines/>
      <w:spacing w:before="50" w:beforeLines="50" w:after="50" w:afterLines="50" w:line="540" w:lineRule="exact"/>
      <w:ind w:firstLine="200" w:firstLineChars="200"/>
      <w:outlineLvl w:val="1"/>
    </w:pPr>
    <w:rPr>
      <w:rFonts w:ascii="Calibri Light" w:hAnsi="Calibri Light" w:eastAsia="楷体" w:cs="Times New Roman"/>
      <w:b/>
      <w:bCs/>
      <w:sz w:val="32"/>
      <w:szCs w:val="32"/>
    </w:rPr>
  </w:style>
  <w:style w:type="character" w:default="1" w:styleId="20">
    <w:name w:val="Default Paragraph Font"/>
    <w:semiHidden/>
    <w:uiPriority w:val="0"/>
  </w:style>
  <w:style w:type="table" w:default="1" w:styleId="1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99"/>
    <w:pPr>
      <w:spacing w:after="0" w:line="360" w:lineRule="auto"/>
      <w:ind w:left="0" w:leftChars="0" w:firstLine="420" w:firstLineChars="200"/>
    </w:pPr>
    <w:rPr>
      <w:rFonts w:ascii="宋体" w:hAnsi="宋体" w:eastAsia="宋体" w:cs="Times New Roman"/>
      <w:sz w:val="24"/>
      <w:szCs w:val="24"/>
    </w:rPr>
  </w:style>
  <w:style w:type="paragraph" w:styleId="3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6">
    <w:name w:val="annotation text"/>
    <w:basedOn w:val="1"/>
    <w:link w:val="24"/>
    <w:uiPriority w:val="0"/>
    <w:pPr>
      <w:jc w:val="left"/>
    </w:pPr>
  </w:style>
  <w:style w:type="paragraph" w:styleId="7">
    <w:name w:val="Body Text"/>
    <w:basedOn w:val="1"/>
    <w:next w:val="1"/>
    <w:qFormat/>
    <w:uiPriority w:val="0"/>
    <w:pPr>
      <w:spacing w:line="360" w:lineRule="auto"/>
      <w:ind w:firstLine="883" w:firstLineChars="200"/>
    </w:pPr>
    <w:rPr>
      <w:rFonts w:ascii="Calibri" w:hAnsi="Calibri" w:eastAsia="仿宋_GB2312" w:cs="宋体"/>
      <w:sz w:val="32"/>
      <w:szCs w:val="32"/>
    </w:rPr>
  </w:style>
  <w:style w:type="paragraph" w:styleId="8">
    <w:name w:val="toc 3"/>
    <w:basedOn w:val="1"/>
    <w:next w:val="1"/>
    <w:uiPriority w:val="0"/>
    <w:pPr>
      <w:ind w:left="840" w:leftChars="400"/>
    </w:pPr>
  </w:style>
  <w:style w:type="paragraph" w:styleId="9">
    <w:name w:val="Plain Text"/>
    <w:basedOn w:val="1"/>
    <w:qFormat/>
    <w:uiPriority w:val="0"/>
    <w:rPr>
      <w:rFonts w:ascii="宋体" w:hAnsi="Courier New" w:eastAsia="宋体" w:cs="Courier New"/>
      <w:sz w:val="21"/>
      <w:szCs w:val="21"/>
    </w:rPr>
  </w:style>
  <w:style w:type="paragraph" w:styleId="10">
    <w:name w:val="Balloon Text"/>
    <w:basedOn w:val="1"/>
    <w:link w:val="25"/>
    <w:uiPriority w:val="0"/>
    <w:rPr>
      <w:sz w:val="18"/>
      <w:szCs w:val="18"/>
    </w:rPr>
  </w:style>
  <w:style w:type="paragraph" w:styleId="11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 w:cs="Times New Roman"/>
      <w:sz w:val="18"/>
      <w:szCs w:val="24"/>
    </w:rPr>
  </w:style>
  <w:style w:type="paragraph" w:styleId="12">
    <w:name w:val="header"/>
    <w:basedOn w:val="1"/>
    <w:link w:val="2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iPriority w:val="0"/>
  </w:style>
  <w:style w:type="paragraph" w:styleId="14">
    <w:name w:val="footnote text"/>
    <w:basedOn w:val="1"/>
    <w:uiPriority w:val="0"/>
    <w:pPr>
      <w:snapToGrid w:val="0"/>
      <w:jc w:val="left"/>
    </w:pPr>
    <w:rPr>
      <w:sz w:val="18"/>
    </w:rPr>
  </w:style>
  <w:style w:type="paragraph" w:styleId="15">
    <w:name w:val="toc 2"/>
    <w:basedOn w:val="1"/>
    <w:next w:val="1"/>
    <w:uiPriority w:val="0"/>
    <w:pPr>
      <w:ind w:left="420" w:leftChars="200"/>
    </w:pPr>
  </w:style>
  <w:style w:type="paragraph" w:styleId="16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7">
    <w:name w:val="annotation subject"/>
    <w:basedOn w:val="6"/>
    <w:next w:val="6"/>
    <w:link w:val="27"/>
    <w:uiPriority w:val="0"/>
    <w:rPr>
      <w:b/>
      <w:bCs/>
    </w:rPr>
  </w:style>
  <w:style w:type="table" w:styleId="19">
    <w:name w:val="Table Grid"/>
    <w:basedOn w:val="18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Hyperlink"/>
    <w:qFormat/>
    <w:uiPriority w:val="0"/>
    <w:rPr>
      <w:color w:val="0000FF"/>
      <w:u w:val="single"/>
    </w:rPr>
  </w:style>
  <w:style w:type="character" w:styleId="22">
    <w:name w:val="annotation reference"/>
    <w:uiPriority w:val="0"/>
    <w:rPr>
      <w:sz w:val="21"/>
      <w:szCs w:val="21"/>
    </w:rPr>
  </w:style>
  <w:style w:type="character" w:styleId="23">
    <w:name w:val="footnote reference"/>
    <w:uiPriority w:val="0"/>
    <w:rPr>
      <w:vertAlign w:val="superscript"/>
    </w:rPr>
  </w:style>
  <w:style w:type="character" w:customStyle="1" w:styleId="24">
    <w:name w:val="批注文字 字符"/>
    <w:link w:val="6"/>
    <w:uiPriority w:val="0"/>
    <w:rPr>
      <w:kern w:val="2"/>
      <w:sz w:val="21"/>
      <w:szCs w:val="24"/>
    </w:rPr>
  </w:style>
  <w:style w:type="character" w:customStyle="1" w:styleId="25">
    <w:name w:val="批注框文本 字符"/>
    <w:link w:val="10"/>
    <w:uiPriority w:val="0"/>
    <w:rPr>
      <w:kern w:val="2"/>
      <w:sz w:val="18"/>
      <w:szCs w:val="18"/>
    </w:rPr>
  </w:style>
  <w:style w:type="character" w:customStyle="1" w:styleId="26">
    <w:name w:val="页眉 字符"/>
    <w:link w:val="12"/>
    <w:uiPriority w:val="0"/>
    <w:rPr>
      <w:kern w:val="2"/>
      <w:sz w:val="18"/>
      <w:szCs w:val="18"/>
    </w:rPr>
  </w:style>
  <w:style w:type="character" w:customStyle="1" w:styleId="27">
    <w:name w:val="批注主题 字符"/>
    <w:link w:val="17"/>
    <w:uiPriority w:val="0"/>
    <w:rPr>
      <w:b/>
      <w:bCs/>
      <w:kern w:val="2"/>
      <w:sz w:val="21"/>
      <w:szCs w:val="24"/>
    </w:rPr>
  </w:style>
  <w:style w:type="paragraph" w:customStyle="1" w:styleId="28">
    <w:name w:val="正文首行缩进 21"/>
    <w:basedOn w:val="3"/>
    <w:uiPriority w:val="0"/>
    <w:pPr>
      <w:spacing w:before="100" w:beforeAutospacing="1" w:after="0" w:line="360" w:lineRule="auto"/>
      <w:ind w:left="0" w:leftChars="0" w:firstLine="420" w:firstLineChars="200"/>
    </w:pPr>
    <w:rPr>
      <w:rFonts w:ascii="宋体" w:hAnsi="宋体"/>
      <w:sz w:val="24"/>
    </w:rPr>
  </w:style>
  <w:style w:type="paragraph" w:customStyle="1" w:styleId="29">
    <w:name w:val="WPSOffice手动目录 1"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30">
    <w:name w:val="WPSOffice手动目录 2"/>
    <w:uiPriority w:val="0"/>
    <w:pPr>
      <w:ind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1">
    <w:name w:val="WPSOffice手动目录 3"/>
    <w:uiPriority w:val="0"/>
    <w:pPr>
      <w:ind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2">
    <w:name w:val="_Style 24"/>
    <w:basedOn w:val="3"/>
    <w:next w:val="2"/>
    <w:qFormat/>
    <w:uiPriority w:val="99"/>
    <w:pPr>
      <w:spacing w:after="0" w:line="360" w:lineRule="auto"/>
      <w:ind w:left="0" w:leftChars="0" w:firstLine="420" w:firstLineChars="200"/>
    </w:pPr>
    <w:rPr>
      <w:rFonts w:ascii="宋体" w:hAnsi="宋体"/>
      <w:sz w:val="24"/>
    </w:rPr>
  </w:style>
  <w:style w:type="character" w:customStyle="1" w:styleId="33">
    <w:name w:val="font21"/>
    <w:uiPriority w:val="0"/>
    <w:rPr>
      <w:rFonts w:ascii="方正楷体_GB2312" w:hAnsi="方正楷体_GB2312" w:eastAsia="方正楷体_GB2312" w:cs="方正楷体_GB2312"/>
      <w:color w:val="000000"/>
      <w:sz w:val="22"/>
      <w:szCs w:val="22"/>
      <w:u w:val="none"/>
    </w:rPr>
  </w:style>
  <w:style w:type="character" w:customStyle="1" w:styleId="34">
    <w:name w:val="font11"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35">
    <w:name w:val="font61"/>
    <w:qFormat/>
    <w:uiPriority w:val="0"/>
    <w:rPr>
      <w:rFonts w:ascii="仿宋" w:hAnsi="仿宋" w:eastAsia="仿宋" w:cs="仿宋"/>
      <w:color w:val="000000"/>
      <w:sz w:val="22"/>
      <w:szCs w:val="22"/>
      <w:u w:val="none"/>
    </w:rPr>
  </w:style>
  <w:style w:type="character" w:customStyle="1" w:styleId="36">
    <w:name w:val="font71"/>
    <w:qFormat/>
    <w:uiPriority w:val="0"/>
    <w:rPr>
      <w:rFonts w:hint="eastAsia" w:ascii="仿宋" w:hAnsi="仿宋" w:eastAsia="仿宋" w:cs="仿宋"/>
      <w:color w:val="000000"/>
      <w:sz w:val="21"/>
      <w:szCs w:val="21"/>
      <w:u w:val="none"/>
    </w:rPr>
  </w:style>
  <w:style w:type="character" w:customStyle="1" w:styleId="37">
    <w:name w:val="font81"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38">
    <w:name w:val="font91"/>
    <w:qFormat/>
    <w:uiPriority w:val="0"/>
    <w:rPr>
      <w:rFonts w:hint="eastAsia" w:ascii="等线" w:hAnsi="等线" w:eastAsia="等线" w:cs="等线"/>
      <w:color w:val="000000"/>
      <w:sz w:val="21"/>
      <w:szCs w:val="21"/>
      <w:u w:val="none"/>
    </w:rPr>
  </w:style>
  <w:style w:type="character" w:customStyle="1" w:styleId="39">
    <w:name w:val="font51"/>
    <w:uiPriority w:val="0"/>
    <w:rPr>
      <w:rFonts w:hint="eastAsia" w:ascii="仿宋" w:hAnsi="仿宋" w:eastAsia="仿宋" w:cs="仿宋"/>
      <w:color w:val="000000"/>
      <w:sz w:val="21"/>
      <w:szCs w:val="21"/>
      <w:u w:val="none"/>
    </w:rPr>
  </w:style>
  <w:style w:type="character" w:customStyle="1" w:styleId="40">
    <w:name w:val="font41"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41">
    <w:name w:val="font31"/>
    <w:uiPriority w:val="0"/>
    <w:rPr>
      <w:rFonts w:hint="eastAsia" w:ascii="仿宋" w:hAnsi="仿宋" w:eastAsia="仿宋" w:cs="仿宋"/>
      <w:color w:val="000000"/>
      <w:sz w:val="21"/>
      <w:szCs w:val="21"/>
      <w:u w:val="none"/>
    </w:rPr>
  </w:style>
  <w:style w:type="character" w:customStyle="1" w:styleId="42">
    <w:name w:val="font01"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paragraph" w:customStyle="1" w:styleId="43">
    <w:name w:val="_Style 42"/>
    <w:unhideWhenUsed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23</Pages>
  <Words>14093</Words>
  <Characters>15612</Characters>
  <Lines>241</Lines>
  <Paragraphs>67</Paragraphs>
  <TotalTime>8</TotalTime>
  <ScaleCrop>false</ScaleCrop>
  <LinksUpToDate>false</LinksUpToDate>
  <CharactersWithSpaces>15652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2022-07-17T04:01:00Z</dcterms:created>
  <dc:creator>Admin</dc:creator>
  <cp:lastModifiedBy>Z</cp:lastModifiedBy>
  <cp:lastPrinted>2023-06-08T11:25:00Z</cp:lastPrinted>
  <dcterms:modified xsi:type="dcterms:W3CDTF">2023-06-26T01:00:39Z</dcterms:modified>
  <dc:title>中国陆域生态综合分区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4CA31BE138BA409AAF6A3D3A173216F8</vt:lpwstr>
  </property>
</Properties>
</file>