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0" w:beforeAutospacing="0" w:after="0" w:afterAutospacing="0"/>
        <w:rPr>
          <w:rFonts w:hint="eastAsia" w:ascii="仿宋" w:hAnsi="仿宋" w:eastAsia="仿宋" w:cs="仿宋"/>
          <w:sz w:val="32"/>
          <w:szCs w:val="32"/>
          <w:lang w:val="en-US" w:eastAsia="zh-CN"/>
        </w:rPr>
      </w:pPr>
      <w:bookmarkStart w:id="0" w:name="_GoBack"/>
      <w:bookmarkEnd w:id="0"/>
      <w:r>
        <w:rPr>
          <w:rFonts w:hint="eastAsia" w:ascii="仿宋" w:hAnsi="仿宋" w:eastAsia="仿宋" w:cs="仿宋"/>
          <w:color w:val="000000" w:themeColor="text1"/>
          <w:sz w:val="32"/>
          <w:szCs w:val="32"/>
          <w14:textFill>
            <w14:solidFill>
              <w14:schemeClr w14:val="tx1"/>
            </w14:solidFill>
          </w14:textFill>
        </w:rPr>
        <w:t>附件</w:t>
      </w:r>
    </w:p>
    <w:p>
      <w:pPr>
        <w:spacing w:line="600" w:lineRule="exact"/>
        <w:ind w:firstLine="883" w:firstLineChars="200"/>
        <w:jc w:val="center"/>
        <w:rPr>
          <w:rFonts w:ascii="宋体" w:hAnsi="宋体"/>
          <w:b/>
          <w:sz w:val="44"/>
          <w:szCs w:val="44"/>
        </w:rPr>
      </w:pPr>
      <w:r>
        <w:rPr>
          <w:rFonts w:hint="eastAsia" w:ascii="宋体" w:hAnsi="宋体"/>
          <w:b/>
          <w:sz w:val="44"/>
          <w:szCs w:val="44"/>
        </w:rPr>
        <w:t>土地估价报告三级审核制度</w:t>
      </w:r>
    </w:p>
    <w:p>
      <w:pPr>
        <w:spacing w:line="600" w:lineRule="exact"/>
        <w:ind w:firstLine="883" w:firstLineChars="200"/>
        <w:jc w:val="center"/>
        <w:rPr>
          <w:rFonts w:ascii="宋体" w:hAnsi="宋体"/>
          <w:b/>
          <w:sz w:val="44"/>
          <w:szCs w:val="44"/>
        </w:rPr>
      </w:pPr>
      <w:r>
        <w:rPr>
          <w:rFonts w:hint="eastAsia" w:ascii="宋体" w:hAnsi="宋体"/>
          <w:b/>
          <w:sz w:val="44"/>
          <w:szCs w:val="44"/>
        </w:rPr>
        <w:t>指导意见</w:t>
      </w:r>
    </w:p>
    <w:p>
      <w:pPr>
        <w:spacing w:line="600" w:lineRule="exact"/>
        <w:ind w:firstLine="640" w:firstLineChars="200"/>
        <w:jc w:val="center"/>
        <w:rPr>
          <w:rFonts w:ascii="黑体" w:hAnsi="黑体" w:eastAsia="黑体"/>
          <w:bCs/>
          <w:sz w:val="32"/>
          <w:szCs w:val="32"/>
        </w:rPr>
      </w:pPr>
    </w:p>
    <w:p>
      <w:pPr>
        <w:spacing w:line="600" w:lineRule="exact"/>
        <w:ind w:firstLine="640" w:firstLineChars="200"/>
        <w:jc w:val="center"/>
        <w:rPr>
          <w:rFonts w:ascii="黑体" w:hAnsi="黑体" w:eastAsia="黑体"/>
          <w:sz w:val="32"/>
          <w:szCs w:val="32"/>
        </w:rPr>
      </w:pPr>
      <w:r>
        <w:rPr>
          <w:rFonts w:hint="eastAsia" w:ascii="黑体" w:hAnsi="黑体" w:eastAsia="黑体"/>
          <w:sz w:val="32"/>
          <w:szCs w:val="32"/>
        </w:rPr>
        <w:t>第一章 总则</w:t>
      </w:r>
    </w:p>
    <w:p>
      <w:pPr>
        <w:pStyle w:val="14"/>
        <w:ind w:firstLine="640"/>
        <w:rPr>
          <w:rFonts w:ascii="仿宋" w:hAnsi="仿宋" w:eastAsia="仿宋"/>
          <w:sz w:val="32"/>
          <w:szCs w:val="32"/>
        </w:rPr>
      </w:pPr>
    </w:p>
    <w:p>
      <w:pPr>
        <w:pStyle w:val="14"/>
        <w:ind w:firstLine="643"/>
        <w:rPr>
          <w:rFonts w:ascii="仿宋" w:hAnsi="仿宋" w:eastAsia="仿宋"/>
          <w:sz w:val="32"/>
          <w:szCs w:val="32"/>
        </w:rPr>
      </w:pPr>
      <w:r>
        <w:rPr>
          <w:rFonts w:hint="eastAsia" w:ascii="仿宋" w:hAnsi="仿宋" w:eastAsia="仿宋"/>
          <w:b/>
          <w:sz w:val="32"/>
          <w:szCs w:val="32"/>
        </w:rPr>
        <w:t>第一条</w:t>
      </w:r>
      <w:r>
        <w:rPr>
          <w:rFonts w:hint="eastAsia" w:ascii="仿宋" w:hAnsi="仿宋" w:eastAsia="仿宋"/>
          <w:b/>
          <w:sz w:val="32"/>
          <w:szCs w:val="32"/>
          <w:lang w:val="en-US" w:eastAsia="zh-CN"/>
        </w:rPr>
        <w:t xml:space="preserve"> </w:t>
      </w:r>
      <w:r>
        <w:rPr>
          <w:rFonts w:hint="eastAsia" w:ascii="仿宋" w:hAnsi="仿宋" w:eastAsia="仿宋"/>
          <w:sz w:val="32"/>
          <w:szCs w:val="32"/>
        </w:rPr>
        <w:t>为加强土地估价过程管控，保证土地估价报告质量，降低执业风险，提升土地估价行业整体水平，根据《中华人民共和国资产评估法》（以下简称《资产评估法》）等国家相关法律、法规和《土地估价行业评估执业行为准则》，制定本指导意见。</w:t>
      </w:r>
    </w:p>
    <w:p>
      <w:pPr>
        <w:pStyle w:val="14"/>
        <w:ind w:firstLine="643"/>
        <w:rPr>
          <w:rFonts w:hint="eastAsia" w:ascii="仿宋" w:hAnsi="仿宋" w:eastAsia="仿宋"/>
          <w:sz w:val="32"/>
          <w:szCs w:val="32"/>
        </w:rPr>
      </w:pPr>
      <w:r>
        <w:rPr>
          <w:rFonts w:hint="eastAsia" w:ascii="仿宋" w:hAnsi="仿宋" w:eastAsia="仿宋"/>
          <w:b/>
          <w:sz w:val="32"/>
          <w:szCs w:val="32"/>
        </w:rPr>
        <w:t>第二条</w:t>
      </w:r>
      <w:r>
        <w:rPr>
          <w:rFonts w:hint="eastAsia" w:ascii="仿宋" w:hAnsi="仿宋" w:eastAsia="仿宋"/>
          <w:sz w:val="32"/>
          <w:szCs w:val="32"/>
        </w:rPr>
        <w:t xml:space="preserve"> 按照《资产评估法》完成备案的土地估价机构，应严格按照《资产评估法》的要求，建立健全质量控制制度和风险防范机制，对本机构内评估专业人员的执业情况进行监督；规范执行土地估价报告三级审核制度，保证土地估价报告质量。</w:t>
      </w:r>
    </w:p>
    <w:p>
      <w:pPr>
        <w:pStyle w:val="14"/>
        <w:ind w:firstLine="643"/>
        <w:rPr>
          <w:rFonts w:ascii="仿宋" w:hAnsi="仿宋" w:eastAsia="仿宋"/>
          <w:sz w:val="32"/>
          <w:szCs w:val="32"/>
        </w:rPr>
      </w:pPr>
      <w:r>
        <w:rPr>
          <w:rFonts w:hint="eastAsia" w:ascii="仿宋" w:hAnsi="仿宋" w:eastAsia="仿宋"/>
          <w:b/>
          <w:sz w:val="32"/>
          <w:szCs w:val="32"/>
        </w:rPr>
        <w:t>第三条</w:t>
      </w:r>
      <w:r>
        <w:rPr>
          <w:rFonts w:hint="eastAsia" w:ascii="仿宋" w:hAnsi="仿宋" w:eastAsia="仿宋"/>
          <w:sz w:val="32"/>
          <w:szCs w:val="32"/>
        </w:rPr>
        <w:t xml:space="preserve"> 三级审核制度包括初审、复审和终审三级。审核人员应为取得土地估价师资格证书或新整合后的房地产估价师职业资格证书的土地估价专业评估师。</w:t>
      </w:r>
    </w:p>
    <w:p>
      <w:pPr>
        <w:pStyle w:val="14"/>
        <w:ind w:firstLine="643"/>
        <w:rPr>
          <w:rFonts w:ascii="仿宋" w:hAnsi="仿宋" w:eastAsia="仿宋"/>
          <w:sz w:val="32"/>
          <w:szCs w:val="32"/>
        </w:rPr>
      </w:pPr>
      <w:r>
        <w:rPr>
          <w:rFonts w:hint="eastAsia" w:ascii="仿宋" w:hAnsi="仿宋" w:eastAsia="仿宋"/>
          <w:b/>
          <w:sz w:val="32"/>
          <w:szCs w:val="32"/>
        </w:rPr>
        <w:t>第四条</w:t>
      </w:r>
      <w:r>
        <w:rPr>
          <w:rFonts w:hint="eastAsia" w:ascii="仿宋" w:hAnsi="仿宋" w:eastAsia="仿宋"/>
          <w:sz w:val="32"/>
          <w:szCs w:val="32"/>
        </w:rPr>
        <w:t xml:space="preserve"> 三级审核制度中，初审人员由签署土地估价报告的土地估价专业的评估师承担；复审人员由土地估价机构的技术骨干评估师承担；终审人员由土地估价机构确定的总估价师（技术负责人）承担。</w:t>
      </w:r>
    </w:p>
    <w:p>
      <w:pPr>
        <w:pStyle w:val="14"/>
        <w:ind w:firstLine="643"/>
        <w:rPr>
          <w:rFonts w:ascii="仿宋" w:hAnsi="仿宋" w:eastAsia="仿宋"/>
          <w:sz w:val="32"/>
          <w:szCs w:val="32"/>
        </w:rPr>
      </w:pPr>
      <w:r>
        <w:rPr>
          <w:rFonts w:hint="eastAsia" w:ascii="仿宋" w:hAnsi="仿宋" w:eastAsia="仿宋"/>
          <w:b/>
          <w:sz w:val="32"/>
          <w:szCs w:val="32"/>
        </w:rPr>
        <w:t>第五条</w:t>
      </w:r>
      <w:r>
        <w:rPr>
          <w:rFonts w:hint="eastAsia" w:ascii="仿宋" w:hAnsi="仿宋" w:eastAsia="仿宋"/>
          <w:sz w:val="32"/>
          <w:szCs w:val="32"/>
        </w:rPr>
        <w:t xml:space="preserve"> 土地估价报告三级审核制度审核内容为土地估价结果报告、土地估价技术报告、附件等，包括但不限于文字描述、方法选择、数据来源、参数选取、结果论证等资料。</w:t>
      </w:r>
    </w:p>
    <w:p>
      <w:pPr>
        <w:pStyle w:val="14"/>
        <w:ind w:firstLine="643"/>
        <w:rPr>
          <w:rFonts w:ascii="仿宋" w:hAnsi="仿宋" w:eastAsia="仿宋"/>
          <w:sz w:val="32"/>
          <w:szCs w:val="32"/>
        </w:rPr>
      </w:pPr>
      <w:r>
        <w:rPr>
          <w:rFonts w:hint="eastAsia" w:ascii="仿宋" w:hAnsi="仿宋" w:eastAsia="仿宋"/>
          <w:b/>
          <w:sz w:val="32"/>
          <w:szCs w:val="32"/>
        </w:rPr>
        <w:t>第六条</w:t>
      </w:r>
      <w:r>
        <w:rPr>
          <w:rFonts w:hint="eastAsia" w:ascii="仿宋" w:hAnsi="仿宋" w:eastAsia="仿宋"/>
          <w:sz w:val="32"/>
          <w:szCs w:val="32"/>
        </w:rPr>
        <w:t xml:space="preserve"> 中国土地估价师与土地登记代理人协会（以下简称中估协）会同各省、自治区、直辖市土地估价行业协会定期对各土地估价机构执行三级审核制度的情况进行检查。</w:t>
      </w:r>
    </w:p>
    <w:p>
      <w:pPr>
        <w:pStyle w:val="14"/>
        <w:ind w:firstLine="640"/>
        <w:rPr>
          <w:rFonts w:ascii="仿宋" w:hAnsi="仿宋" w:eastAsia="仿宋"/>
          <w:sz w:val="32"/>
          <w:szCs w:val="32"/>
        </w:rPr>
      </w:pPr>
    </w:p>
    <w:p>
      <w:pPr>
        <w:spacing w:line="600" w:lineRule="exact"/>
        <w:ind w:firstLine="640" w:firstLineChars="200"/>
        <w:jc w:val="center"/>
        <w:rPr>
          <w:rFonts w:ascii="黑体" w:hAnsi="黑体" w:eastAsia="黑体"/>
          <w:strike/>
          <w:sz w:val="32"/>
          <w:szCs w:val="32"/>
        </w:rPr>
      </w:pPr>
      <w:r>
        <w:rPr>
          <w:rFonts w:hint="eastAsia" w:ascii="黑体" w:hAnsi="黑体" w:eastAsia="黑体"/>
          <w:sz w:val="32"/>
          <w:szCs w:val="32"/>
        </w:rPr>
        <w:t>第二章 审核内容及流程</w:t>
      </w:r>
    </w:p>
    <w:p>
      <w:pPr>
        <w:spacing w:line="600" w:lineRule="exact"/>
        <w:ind w:firstLine="640" w:firstLineChars="200"/>
        <w:rPr>
          <w:rFonts w:ascii="仿宋" w:hAnsi="仿宋" w:eastAsia="仿宋"/>
          <w:sz w:val="32"/>
          <w:szCs w:val="32"/>
        </w:rPr>
      </w:pPr>
    </w:p>
    <w:p>
      <w:pPr>
        <w:spacing w:line="600" w:lineRule="exact"/>
        <w:ind w:firstLine="643" w:firstLineChars="200"/>
        <w:rPr>
          <w:rFonts w:ascii="仿宋" w:hAnsi="仿宋" w:eastAsia="仿宋"/>
          <w:sz w:val="32"/>
          <w:szCs w:val="32"/>
        </w:rPr>
      </w:pPr>
      <w:r>
        <w:rPr>
          <w:rFonts w:hint="eastAsia" w:ascii="仿宋" w:hAnsi="仿宋" w:eastAsia="仿宋"/>
          <w:b/>
          <w:sz w:val="32"/>
          <w:szCs w:val="32"/>
        </w:rPr>
        <w:t xml:space="preserve">第七条 </w:t>
      </w:r>
      <w:r>
        <w:rPr>
          <w:rFonts w:hint="eastAsia" w:ascii="仿宋" w:hAnsi="仿宋" w:eastAsia="仿宋"/>
          <w:sz w:val="32"/>
          <w:szCs w:val="32"/>
        </w:rPr>
        <w:t>初审人员负责对土地估价报告进行全面自检，确保土地估价报告符合规范要求。初审主要内容如下：</w:t>
      </w:r>
    </w:p>
    <w:p>
      <w:pPr>
        <w:spacing w:line="600" w:lineRule="exact"/>
        <w:ind w:firstLine="640" w:firstLineChars="200"/>
        <w:rPr>
          <w:rFonts w:ascii="仿宋" w:hAnsi="仿宋" w:eastAsia="仿宋"/>
          <w:sz w:val="32"/>
          <w:szCs w:val="32"/>
        </w:rPr>
      </w:pPr>
      <w:r>
        <w:rPr>
          <w:rFonts w:ascii="仿宋" w:hAnsi="仿宋" w:eastAsia="仿宋"/>
          <w:sz w:val="32"/>
          <w:szCs w:val="32"/>
        </w:rPr>
        <w:t>1.核对委托方提供资料的规范性、完整性，如是否加盖委托方公章等；</w:t>
      </w:r>
    </w:p>
    <w:p>
      <w:pPr>
        <w:spacing w:line="600" w:lineRule="exact"/>
        <w:ind w:firstLine="640" w:firstLineChars="200"/>
        <w:rPr>
          <w:rFonts w:ascii="仿宋" w:hAnsi="仿宋" w:eastAsia="仿宋"/>
          <w:sz w:val="32"/>
          <w:szCs w:val="32"/>
        </w:rPr>
      </w:pPr>
      <w:r>
        <w:rPr>
          <w:rFonts w:ascii="仿宋" w:hAnsi="仿宋" w:eastAsia="仿宋"/>
          <w:sz w:val="32"/>
          <w:szCs w:val="32"/>
        </w:rPr>
        <w:t>2.核对估价对象基本情况与委托资料记载内容、现场查勘表及沟通过程中形成的记录一致性；</w:t>
      </w:r>
    </w:p>
    <w:p>
      <w:pPr>
        <w:spacing w:line="600" w:lineRule="exact"/>
        <w:ind w:firstLine="640" w:firstLineChars="200"/>
        <w:rPr>
          <w:rFonts w:ascii="仿宋" w:hAnsi="仿宋" w:eastAsia="仿宋"/>
          <w:sz w:val="32"/>
          <w:szCs w:val="32"/>
        </w:rPr>
      </w:pPr>
      <w:r>
        <w:rPr>
          <w:rFonts w:ascii="仿宋" w:hAnsi="仿宋" w:eastAsia="仿宋"/>
          <w:sz w:val="32"/>
          <w:szCs w:val="32"/>
        </w:rPr>
        <w:t>3.根据估价目的，确认收集估价资料的完整性，核查材料的真实性与客观性；</w:t>
      </w:r>
    </w:p>
    <w:p>
      <w:pPr>
        <w:spacing w:line="600" w:lineRule="exact"/>
        <w:ind w:firstLine="640" w:firstLineChars="200"/>
        <w:rPr>
          <w:rFonts w:ascii="仿宋" w:hAnsi="仿宋" w:eastAsia="仿宋"/>
          <w:sz w:val="32"/>
          <w:szCs w:val="32"/>
        </w:rPr>
      </w:pPr>
      <w:r>
        <w:rPr>
          <w:rFonts w:ascii="仿宋" w:hAnsi="仿宋" w:eastAsia="仿宋"/>
          <w:sz w:val="32"/>
          <w:szCs w:val="32"/>
        </w:rPr>
        <w:t>4.核实估价依据的现势性与合理性；</w:t>
      </w:r>
    </w:p>
    <w:p>
      <w:pPr>
        <w:spacing w:line="600" w:lineRule="exact"/>
        <w:ind w:firstLine="640" w:firstLineChars="200"/>
        <w:rPr>
          <w:rFonts w:ascii="仿宋" w:hAnsi="仿宋" w:eastAsia="仿宋"/>
          <w:sz w:val="32"/>
          <w:szCs w:val="32"/>
        </w:rPr>
      </w:pPr>
      <w:r>
        <w:rPr>
          <w:rFonts w:ascii="仿宋" w:hAnsi="仿宋" w:eastAsia="仿宋"/>
          <w:sz w:val="32"/>
          <w:szCs w:val="32"/>
        </w:rPr>
        <w:t>5.核对估价中引用的案例、关键参数、市场数据等是否与原始材料一致；</w:t>
      </w:r>
    </w:p>
    <w:p>
      <w:pPr>
        <w:spacing w:line="600" w:lineRule="exact"/>
        <w:ind w:firstLine="640" w:firstLineChars="200"/>
        <w:rPr>
          <w:rFonts w:ascii="仿宋" w:hAnsi="仿宋" w:eastAsia="仿宋"/>
          <w:sz w:val="32"/>
          <w:szCs w:val="32"/>
        </w:rPr>
      </w:pPr>
      <w:r>
        <w:rPr>
          <w:rFonts w:ascii="仿宋" w:hAnsi="仿宋" w:eastAsia="仿宋"/>
          <w:sz w:val="32"/>
          <w:szCs w:val="32"/>
        </w:rPr>
        <w:t>6.核对土地估价结果报告和土地估价技术报告一致性，附件资料的完整性。审核内容包括报告文字校核（如是否存在前后矛盾、</w:t>
      </w:r>
      <w:r>
        <w:rPr>
          <w:rFonts w:hint="eastAsia" w:ascii="仿宋" w:hAnsi="仿宋" w:eastAsia="仿宋"/>
          <w:sz w:val="32"/>
          <w:szCs w:val="32"/>
        </w:rPr>
        <w:t>错别字</w:t>
      </w:r>
      <w:r>
        <w:rPr>
          <w:rFonts w:ascii="仿宋" w:hAnsi="仿宋" w:eastAsia="仿宋"/>
          <w:sz w:val="32"/>
          <w:szCs w:val="32"/>
        </w:rPr>
        <w:t>等低级错误）、估价方法的合理性分析、计算过程的正确性判定、测算表格关系是否正确、测算表格结果与估价报告是否一致等；</w:t>
      </w:r>
    </w:p>
    <w:p>
      <w:pPr>
        <w:spacing w:line="600" w:lineRule="exact"/>
        <w:ind w:firstLine="640" w:firstLineChars="200"/>
        <w:rPr>
          <w:rFonts w:ascii="仿宋" w:hAnsi="仿宋" w:eastAsia="仿宋"/>
          <w:sz w:val="32"/>
          <w:szCs w:val="32"/>
        </w:rPr>
      </w:pPr>
      <w:r>
        <w:rPr>
          <w:rFonts w:ascii="仿宋" w:hAnsi="仿宋" w:eastAsia="仿宋"/>
          <w:sz w:val="32"/>
          <w:szCs w:val="32"/>
        </w:rPr>
        <w:t>7.对特殊事项做出准确披露，提示复审、终审需要重点审核的相关内容；</w:t>
      </w:r>
    </w:p>
    <w:p>
      <w:pPr>
        <w:spacing w:line="600" w:lineRule="exact"/>
        <w:ind w:firstLine="640" w:firstLineChars="200"/>
        <w:rPr>
          <w:rFonts w:ascii="仿宋" w:hAnsi="仿宋" w:eastAsia="仿宋"/>
          <w:sz w:val="32"/>
          <w:szCs w:val="32"/>
        </w:rPr>
      </w:pPr>
      <w:r>
        <w:rPr>
          <w:rFonts w:ascii="仿宋" w:hAnsi="仿宋" w:eastAsia="仿宋"/>
          <w:sz w:val="32"/>
          <w:szCs w:val="32"/>
        </w:rPr>
        <w:t>8.核对估价报告是否符合估价委托书的约定；</w:t>
      </w:r>
    </w:p>
    <w:p>
      <w:pPr>
        <w:spacing w:line="600" w:lineRule="exact"/>
        <w:ind w:firstLine="640" w:firstLineChars="200"/>
        <w:rPr>
          <w:rFonts w:ascii="仿宋" w:hAnsi="仿宋" w:eastAsia="仿宋"/>
          <w:sz w:val="32"/>
          <w:szCs w:val="32"/>
        </w:rPr>
      </w:pPr>
      <w:r>
        <w:rPr>
          <w:rFonts w:ascii="仿宋" w:hAnsi="仿宋" w:eastAsia="仿宋"/>
          <w:sz w:val="32"/>
          <w:szCs w:val="32"/>
        </w:rPr>
        <w:t>9.在审核流转单（见附件）上填写审核意见，并签字确认。</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 xml:space="preserve">第八条 </w:t>
      </w:r>
      <w:r>
        <w:rPr>
          <w:rFonts w:hint="eastAsia" w:ascii="仿宋" w:hAnsi="仿宋" w:eastAsia="仿宋"/>
          <w:sz w:val="32"/>
          <w:szCs w:val="32"/>
        </w:rPr>
        <w:t>复审人员负责对报告进行全面复核。复审主要内容如下：</w:t>
      </w:r>
    </w:p>
    <w:p>
      <w:pPr>
        <w:spacing w:line="60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.复</w:t>
      </w:r>
      <w:r>
        <w:rPr>
          <w:rFonts w:ascii="仿宋" w:hAnsi="仿宋" w:eastAsia="仿宋"/>
          <w:sz w:val="32"/>
          <w:szCs w:val="32"/>
        </w:rPr>
        <w:t>核</w:t>
      </w:r>
      <w:r>
        <w:rPr>
          <w:rFonts w:hint="eastAsia" w:ascii="仿宋" w:hAnsi="仿宋" w:eastAsia="仿宋"/>
          <w:sz w:val="32"/>
          <w:szCs w:val="32"/>
        </w:rPr>
        <w:t>收集的估价资料</w:t>
      </w:r>
      <w:r>
        <w:rPr>
          <w:rFonts w:ascii="仿宋" w:hAnsi="仿宋" w:eastAsia="仿宋"/>
          <w:sz w:val="32"/>
          <w:szCs w:val="32"/>
        </w:rPr>
        <w:t>是否齐全</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.复</w:t>
      </w:r>
      <w:r>
        <w:rPr>
          <w:rFonts w:ascii="仿宋" w:hAnsi="仿宋" w:eastAsia="仿宋"/>
          <w:sz w:val="32"/>
          <w:szCs w:val="32"/>
        </w:rPr>
        <w:t>核估价工作底稿是否完整</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.复</w:t>
      </w:r>
      <w:r>
        <w:rPr>
          <w:rFonts w:ascii="仿宋" w:hAnsi="仿宋" w:eastAsia="仿宋"/>
          <w:sz w:val="32"/>
          <w:szCs w:val="32"/>
        </w:rPr>
        <w:t>核</w:t>
      </w:r>
      <w:r>
        <w:rPr>
          <w:rFonts w:hint="eastAsia" w:ascii="仿宋" w:hAnsi="仿宋" w:eastAsia="仿宋"/>
          <w:sz w:val="32"/>
          <w:szCs w:val="32"/>
        </w:rPr>
        <w:t>估价对象是否符合估价目的</w:t>
      </w:r>
      <w:r>
        <w:rPr>
          <w:rFonts w:ascii="仿宋" w:hAnsi="仿宋" w:eastAsia="仿宋"/>
          <w:sz w:val="32"/>
          <w:szCs w:val="32"/>
        </w:rPr>
        <w:t>土地处</w:t>
      </w:r>
      <w:r>
        <w:rPr>
          <w:rFonts w:hint="eastAsia" w:ascii="仿宋" w:hAnsi="仿宋" w:eastAsia="仿宋"/>
          <w:sz w:val="32"/>
          <w:szCs w:val="32"/>
        </w:rPr>
        <w:t>置的有关规定等；</w:t>
      </w:r>
    </w:p>
    <w:p>
      <w:pPr>
        <w:spacing w:line="600" w:lineRule="exact"/>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.复</w:t>
      </w:r>
      <w:r>
        <w:rPr>
          <w:rFonts w:ascii="仿宋" w:hAnsi="仿宋" w:eastAsia="仿宋"/>
          <w:sz w:val="32"/>
          <w:szCs w:val="32"/>
        </w:rPr>
        <w:t>核估价程序是否按要求执行</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.复</w:t>
      </w:r>
      <w:r>
        <w:rPr>
          <w:rFonts w:ascii="仿宋" w:hAnsi="仿宋" w:eastAsia="仿宋"/>
          <w:sz w:val="32"/>
          <w:szCs w:val="32"/>
        </w:rPr>
        <w:t>核</w:t>
      </w:r>
      <w:r>
        <w:rPr>
          <w:rFonts w:hint="eastAsia" w:ascii="仿宋" w:hAnsi="仿宋" w:eastAsia="仿宋"/>
          <w:sz w:val="32"/>
          <w:szCs w:val="32"/>
        </w:rPr>
        <w:t>土地估价</w:t>
      </w:r>
      <w:r>
        <w:rPr>
          <w:rFonts w:ascii="仿宋" w:hAnsi="仿宋" w:eastAsia="仿宋"/>
          <w:sz w:val="32"/>
          <w:szCs w:val="32"/>
        </w:rPr>
        <w:t>方法选择及运用是否合理</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.复</w:t>
      </w:r>
      <w:r>
        <w:rPr>
          <w:rFonts w:ascii="仿宋" w:hAnsi="仿宋" w:eastAsia="仿宋"/>
          <w:sz w:val="32"/>
          <w:szCs w:val="32"/>
        </w:rPr>
        <w:t>核估价依据是否充分</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复核估价案例是否真实；</w:t>
      </w:r>
    </w:p>
    <w:p>
      <w:pPr>
        <w:spacing w:line="600" w:lineRule="exact"/>
        <w:ind w:firstLine="640" w:firstLineChars="200"/>
        <w:rPr>
          <w:rFonts w:ascii="仿宋" w:hAnsi="仿宋" w:eastAsia="仿宋"/>
          <w:sz w:val="32"/>
          <w:szCs w:val="32"/>
        </w:rPr>
      </w:pPr>
      <w:r>
        <w:rPr>
          <w:rFonts w:ascii="仿宋" w:hAnsi="仿宋" w:eastAsia="仿宋"/>
          <w:sz w:val="32"/>
          <w:szCs w:val="32"/>
        </w:rPr>
        <w:t>8</w:t>
      </w:r>
      <w:r>
        <w:rPr>
          <w:rFonts w:hint="eastAsia" w:ascii="仿宋" w:hAnsi="仿宋" w:eastAsia="仿宋"/>
          <w:sz w:val="32"/>
          <w:szCs w:val="32"/>
        </w:rPr>
        <w:t>.复</w:t>
      </w:r>
      <w:r>
        <w:rPr>
          <w:rFonts w:ascii="仿宋" w:hAnsi="仿宋" w:eastAsia="仿宋"/>
          <w:sz w:val="32"/>
          <w:szCs w:val="32"/>
        </w:rPr>
        <w:t>核估价参数</w:t>
      </w:r>
      <w:r>
        <w:rPr>
          <w:rFonts w:hint="eastAsia" w:ascii="仿宋" w:hAnsi="仿宋" w:eastAsia="仿宋"/>
          <w:sz w:val="32"/>
          <w:szCs w:val="32"/>
        </w:rPr>
        <w:t>确定</w:t>
      </w:r>
      <w:r>
        <w:rPr>
          <w:rFonts w:ascii="仿宋" w:hAnsi="仿宋" w:eastAsia="仿宋"/>
          <w:sz w:val="32"/>
          <w:szCs w:val="32"/>
        </w:rPr>
        <w:t>是否恰当</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ascii="仿宋" w:hAnsi="仿宋" w:eastAsia="仿宋"/>
          <w:sz w:val="32"/>
          <w:szCs w:val="32"/>
        </w:rPr>
        <w:t>9</w:t>
      </w:r>
      <w:r>
        <w:rPr>
          <w:rFonts w:hint="eastAsia" w:ascii="仿宋" w:hAnsi="仿宋" w:eastAsia="仿宋"/>
          <w:sz w:val="32"/>
          <w:szCs w:val="32"/>
        </w:rPr>
        <w:t>.复</w:t>
      </w:r>
      <w:r>
        <w:rPr>
          <w:rFonts w:ascii="仿宋" w:hAnsi="仿宋" w:eastAsia="仿宋"/>
          <w:sz w:val="32"/>
          <w:szCs w:val="32"/>
        </w:rPr>
        <w:t>核估价计算是否正确</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ascii="仿宋" w:hAnsi="仿宋" w:eastAsia="仿宋"/>
          <w:sz w:val="32"/>
          <w:szCs w:val="32"/>
        </w:rPr>
        <w:t>10</w:t>
      </w:r>
      <w:r>
        <w:rPr>
          <w:rFonts w:hint="eastAsia" w:ascii="仿宋" w:hAnsi="仿宋" w:eastAsia="仿宋"/>
          <w:sz w:val="32"/>
          <w:szCs w:val="32"/>
        </w:rPr>
        <w:t>.复</w:t>
      </w:r>
      <w:r>
        <w:rPr>
          <w:rFonts w:ascii="仿宋" w:hAnsi="仿宋" w:eastAsia="仿宋"/>
          <w:sz w:val="32"/>
          <w:szCs w:val="32"/>
        </w:rPr>
        <w:t>核</w:t>
      </w:r>
      <w:r>
        <w:rPr>
          <w:rFonts w:hint="eastAsia" w:ascii="仿宋" w:hAnsi="仿宋" w:eastAsia="仿宋"/>
          <w:sz w:val="32"/>
          <w:szCs w:val="32"/>
        </w:rPr>
        <w:t>测算</w:t>
      </w:r>
      <w:r>
        <w:rPr>
          <w:rFonts w:ascii="仿宋" w:hAnsi="仿宋" w:eastAsia="仿宋"/>
          <w:sz w:val="32"/>
          <w:szCs w:val="32"/>
        </w:rPr>
        <w:t>表格</w:t>
      </w:r>
      <w:r>
        <w:rPr>
          <w:rFonts w:hint="eastAsia" w:ascii="仿宋" w:hAnsi="仿宋" w:eastAsia="仿宋"/>
          <w:sz w:val="32"/>
          <w:szCs w:val="32"/>
        </w:rPr>
        <w:t>数据</w:t>
      </w:r>
      <w:r>
        <w:rPr>
          <w:rFonts w:ascii="仿宋" w:hAnsi="仿宋" w:eastAsia="仿宋"/>
          <w:sz w:val="32"/>
          <w:szCs w:val="32"/>
        </w:rPr>
        <w:t>与估价报告是否一致</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ascii="仿宋" w:hAnsi="仿宋" w:eastAsia="仿宋"/>
          <w:sz w:val="32"/>
          <w:szCs w:val="32"/>
        </w:rPr>
        <w:t>11</w:t>
      </w:r>
      <w:r>
        <w:rPr>
          <w:rFonts w:hint="eastAsia" w:ascii="仿宋" w:hAnsi="仿宋" w:eastAsia="仿宋"/>
          <w:sz w:val="32"/>
          <w:szCs w:val="32"/>
        </w:rPr>
        <w:t>.</w:t>
      </w:r>
      <w:r>
        <w:rPr>
          <w:rFonts w:ascii="仿宋" w:hAnsi="仿宋" w:eastAsia="仿宋"/>
          <w:sz w:val="32"/>
          <w:szCs w:val="32"/>
        </w:rPr>
        <w:t>对报告文字、格式进行必要的阅改，复核其是否符合相关规程、规范及各类指导意见</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ascii="仿宋" w:hAnsi="仿宋" w:eastAsia="仿宋"/>
          <w:sz w:val="32"/>
          <w:szCs w:val="32"/>
        </w:rPr>
        <w:t>12</w:t>
      </w:r>
      <w:r>
        <w:rPr>
          <w:rFonts w:hint="eastAsia" w:ascii="仿宋" w:hAnsi="仿宋" w:eastAsia="仿宋"/>
          <w:sz w:val="32"/>
          <w:szCs w:val="32"/>
        </w:rPr>
        <w:t>.</w:t>
      </w:r>
      <w:r>
        <w:rPr>
          <w:rFonts w:ascii="仿宋" w:hAnsi="仿宋" w:eastAsia="仿宋"/>
          <w:sz w:val="32"/>
          <w:szCs w:val="32"/>
        </w:rPr>
        <w:t>检查</w:t>
      </w:r>
      <w:r>
        <w:rPr>
          <w:rFonts w:hint="eastAsia" w:ascii="仿宋" w:hAnsi="仿宋" w:eastAsia="仿宋"/>
          <w:sz w:val="32"/>
          <w:szCs w:val="32"/>
        </w:rPr>
        <w:t>特殊</w:t>
      </w:r>
      <w:r>
        <w:rPr>
          <w:rFonts w:ascii="仿宋" w:hAnsi="仿宋" w:eastAsia="仿宋"/>
          <w:sz w:val="32"/>
          <w:szCs w:val="32"/>
        </w:rPr>
        <w:t>事项</w:t>
      </w:r>
      <w:r>
        <w:rPr>
          <w:rFonts w:hint="eastAsia" w:ascii="仿宋" w:hAnsi="仿宋" w:eastAsia="仿宋"/>
          <w:sz w:val="32"/>
          <w:szCs w:val="32"/>
        </w:rPr>
        <w:t>披</w:t>
      </w:r>
      <w:r>
        <w:rPr>
          <w:rFonts w:ascii="仿宋" w:hAnsi="仿宋" w:eastAsia="仿宋"/>
          <w:sz w:val="32"/>
          <w:szCs w:val="32"/>
        </w:rPr>
        <w:t>露是否合理、是否有遗漏</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ascii="仿宋" w:hAnsi="仿宋" w:eastAsia="仿宋"/>
          <w:sz w:val="32"/>
          <w:szCs w:val="32"/>
        </w:rPr>
        <w:t>13</w:t>
      </w:r>
      <w:r>
        <w:rPr>
          <w:rFonts w:hint="eastAsia" w:ascii="仿宋" w:hAnsi="仿宋" w:eastAsia="仿宋"/>
          <w:sz w:val="32"/>
          <w:szCs w:val="32"/>
        </w:rPr>
        <w:t>复核估价报告是否符合估价委托书的约定；</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4.</w:t>
      </w:r>
      <w:r>
        <w:rPr>
          <w:rFonts w:hint="eastAsia" w:ascii="仿宋" w:hAnsi="仿宋" w:eastAsia="仿宋"/>
          <w:sz w:val="32"/>
          <w:szCs w:val="32"/>
        </w:rPr>
        <w:t>在审核流转单上填写审核意见，并签字确认。</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第九条</w:t>
      </w:r>
      <w:r>
        <w:rPr>
          <w:rFonts w:hint="eastAsia" w:ascii="仿宋" w:hAnsi="仿宋" w:eastAsia="仿宋"/>
          <w:sz w:val="32"/>
          <w:szCs w:val="32"/>
        </w:rPr>
        <w:t xml:space="preserve"> 终审人员主要负责对复审后的土地估价报告及工作底稿进行重点审核。终审主要内容如下：</w:t>
      </w:r>
    </w:p>
    <w:p>
      <w:pPr>
        <w:spacing w:line="600" w:lineRule="exact"/>
        <w:ind w:firstLine="640" w:firstLineChars="200"/>
        <w:rPr>
          <w:rFonts w:ascii="仿宋" w:hAnsi="仿宋" w:eastAsia="仿宋"/>
          <w:sz w:val="32"/>
          <w:szCs w:val="32"/>
        </w:rPr>
      </w:pPr>
      <w:r>
        <w:rPr>
          <w:rFonts w:ascii="仿宋" w:hAnsi="仿宋" w:eastAsia="仿宋"/>
          <w:sz w:val="32"/>
          <w:szCs w:val="32"/>
        </w:rPr>
        <w:t>1.审核估价目的与方法选择的逻辑一致性；</w:t>
      </w:r>
    </w:p>
    <w:p>
      <w:pPr>
        <w:spacing w:line="600" w:lineRule="exact"/>
        <w:ind w:firstLine="640" w:firstLineChars="200"/>
        <w:rPr>
          <w:rFonts w:ascii="仿宋" w:hAnsi="仿宋" w:eastAsia="仿宋"/>
          <w:sz w:val="32"/>
          <w:szCs w:val="32"/>
        </w:rPr>
      </w:pPr>
      <w:r>
        <w:rPr>
          <w:rFonts w:ascii="仿宋" w:hAnsi="仿宋" w:eastAsia="仿宋"/>
          <w:sz w:val="32"/>
          <w:szCs w:val="32"/>
        </w:rPr>
        <w:t>2.审核参数选取与结果的逻辑一致性；</w:t>
      </w:r>
    </w:p>
    <w:p>
      <w:pPr>
        <w:spacing w:line="600" w:lineRule="exact"/>
        <w:ind w:firstLine="640" w:firstLineChars="200"/>
        <w:rPr>
          <w:rFonts w:ascii="仿宋" w:hAnsi="仿宋" w:eastAsia="仿宋"/>
          <w:sz w:val="32"/>
          <w:szCs w:val="32"/>
        </w:rPr>
      </w:pPr>
      <w:r>
        <w:rPr>
          <w:rFonts w:ascii="仿宋" w:hAnsi="仿宋" w:eastAsia="仿宋"/>
          <w:sz w:val="32"/>
          <w:szCs w:val="32"/>
        </w:rPr>
        <w:t>3.审核估价计算是否正确；</w:t>
      </w:r>
    </w:p>
    <w:p>
      <w:pPr>
        <w:spacing w:line="600" w:lineRule="exact"/>
        <w:ind w:firstLine="640" w:firstLineChars="200"/>
        <w:rPr>
          <w:rFonts w:ascii="仿宋" w:hAnsi="仿宋" w:eastAsia="仿宋"/>
          <w:sz w:val="32"/>
          <w:szCs w:val="32"/>
        </w:rPr>
      </w:pPr>
      <w:r>
        <w:rPr>
          <w:rFonts w:ascii="仿宋" w:hAnsi="仿宋" w:eastAsia="仿宋"/>
          <w:sz w:val="32"/>
          <w:szCs w:val="32"/>
        </w:rPr>
        <w:t>4.审核估价结论是否合理；</w:t>
      </w:r>
    </w:p>
    <w:p>
      <w:pPr>
        <w:spacing w:line="600" w:lineRule="exact"/>
        <w:ind w:firstLine="640" w:firstLineChars="200"/>
        <w:rPr>
          <w:rFonts w:ascii="仿宋" w:hAnsi="仿宋" w:eastAsia="仿宋"/>
          <w:sz w:val="32"/>
          <w:szCs w:val="32"/>
        </w:rPr>
      </w:pPr>
      <w:r>
        <w:rPr>
          <w:rFonts w:ascii="仿宋" w:hAnsi="仿宋" w:eastAsia="仿宋"/>
          <w:sz w:val="32"/>
          <w:szCs w:val="32"/>
        </w:rPr>
        <w:t>5.审核估价报告是否存在重大问题，并提出处理意见；</w:t>
      </w:r>
    </w:p>
    <w:p>
      <w:pPr>
        <w:spacing w:line="600" w:lineRule="exact"/>
        <w:ind w:firstLine="640" w:firstLineChars="200"/>
        <w:rPr>
          <w:rFonts w:ascii="仿宋" w:hAnsi="仿宋" w:eastAsia="仿宋"/>
          <w:sz w:val="32"/>
          <w:szCs w:val="32"/>
        </w:rPr>
      </w:pPr>
      <w:r>
        <w:rPr>
          <w:rFonts w:ascii="仿宋" w:hAnsi="仿宋" w:eastAsia="仿宋"/>
          <w:sz w:val="32"/>
          <w:szCs w:val="32"/>
        </w:rPr>
        <w:t>6.分析判断估价结果存在的问题及改进措施；</w:t>
      </w:r>
    </w:p>
    <w:p>
      <w:pPr>
        <w:spacing w:line="600" w:lineRule="exact"/>
        <w:ind w:firstLine="640" w:firstLineChars="200"/>
        <w:rPr>
          <w:rFonts w:ascii="仿宋" w:hAnsi="仿宋" w:eastAsia="仿宋"/>
          <w:sz w:val="32"/>
          <w:szCs w:val="32"/>
        </w:rPr>
      </w:pPr>
      <w:r>
        <w:rPr>
          <w:rFonts w:ascii="仿宋" w:hAnsi="仿宋" w:eastAsia="仿宋"/>
          <w:sz w:val="32"/>
          <w:szCs w:val="32"/>
        </w:rPr>
        <w:t>7.审核估价程序是否规范，签字盖章是否严谨；</w:t>
      </w:r>
    </w:p>
    <w:p>
      <w:pPr>
        <w:spacing w:line="600" w:lineRule="exact"/>
        <w:ind w:firstLine="640" w:firstLineChars="200"/>
        <w:rPr>
          <w:rFonts w:ascii="仿宋" w:hAnsi="仿宋" w:eastAsia="仿宋"/>
          <w:sz w:val="32"/>
          <w:szCs w:val="32"/>
        </w:rPr>
      </w:pPr>
      <w:r>
        <w:rPr>
          <w:rFonts w:ascii="仿宋" w:hAnsi="仿宋" w:eastAsia="仿宋"/>
          <w:sz w:val="32"/>
          <w:szCs w:val="32"/>
        </w:rPr>
        <w:t>8.审核估价报告是否符合估价委托书的约定；</w:t>
      </w:r>
    </w:p>
    <w:p>
      <w:pPr>
        <w:spacing w:line="600" w:lineRule="exact"/>
        <w:ind w:firstLine="640" w:firstLineChars="200"/>
        <w:rPr>
          <w:rFonts w:ascii="仿宋" w:hAnsi="仿宋" w:eastAsia="仿宋"/>
          <w:sz w:val="32"/>
          <w:szCs w:val="32"/>
        </w:rPr>
      </w:pPr>
      <w:r>
        <w:rPr>
          <w:rFonts w:ascii="仿宋" w:hAnsi="仿宋" w:eastAsia="仿宋"/>
          <w:sz w:val="32"/>
          <w:szCs w:val="32"/>
        </w:rPr>
        <w:t>9.在审核流转单上填写审核意见，并签字确认。</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第十条</w:t>
      </w:r>
      <w:r>
        <w:rPr>
          <w:rFonts w:hint="eastAsia" w:ascii="仿宋" w:hAnsi="仿宋" w:eastAsia="仿宋"/>
          <w:sz w:val="32"/>
          <w:szCs w:val="32"/>
        </w:rPr>
        <w:t xml:space="preserve"> 审核过程按照初审、复审、终审的顺序进行流程管理。各级审核人根据职责分工对送审土地估价报告存在的问题提出审核意见，并书面反馈签字评估师；签字评估师根据审核意见进行补充、修改、完善，并将修改完善后的报告及相关资料（测算过程、工作底稿）送交原审核人再次审核；审核人员在审核流转单上填写审核意见，并签字确认，审核通过后送交下一级审核人员审核。如签字评估师对复审意见有异议可提请终审人员审核。</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未审核通过或越级审核的报告，相关审核人员不承担审核责任。</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第十一条</w:t>
      </w:r>
      <w:r>
        <w:rPr>
          <w:rFonts w:hint="eastAsia" w:ascii="仿宋" w:hAnsi="仿宋" w:eastAsia="仿宋"/>
          <w:sz w:val="32"/>
          <w:szCs w:val="32"/>
        </w:rPr>
        <w:t xml:space="preserve"> 土地估价机构出具的土地估价报告，必须经过三级审核且由审核人员签署书面意见后，方可在土地估价报告备案系统进行备案。</w:t>
      </w:r>
    </w:p>
    <w:p>
      <w:pPr>
        <w:spacing w:line="600" w:lineRule="exact"/>
        <w:ind w:firstLine="640" w:firstLineChars="200"/>
      </w:pPr>
      <w:r>
        <w:rPr>
          <w:rFonts w:hint="eastAsia" w:ascii="仿宋" w:hAnsi="仿宋" w:eastAsia="仿宋"/>
          <w:sz w:val="32"/>
          <w:szCs w:val="32"/>
        </w:rPr>
        <w:t>对于已实施办公自动化，采用线上三级审核的土地估价机构</w:t>
      </w:r>
      <w:r>
        <w:rPr>
          <w:rFonts w:ascii="仿宋" w:hAnsi="仿宋" w:eastAsia="仿宋"/>
          <w:sz w:val="32"/>
          <w:szCs w:val="32"/>
        </w:rPr>
        <w:t>,须保留线上审核流程和审核人员的审核意见记录，方可在土地估价报告备案系统进行备案。</w:t>
      </w:r>
    </w:p>
    <w:p>
      <w:pPr>
        <w:spacing w:line="600" w:lineRule="exact"/>
        <w:ind w:firstLine="420" w:firstLineChars="200"/>
      </w:pPr>
    </w:p>
    <w:p>
      <w:pPr>
        <w:spacing w:line="600" w:lineRule="exact"/>
        <w:ind w:firstLine="640" w:firstLineChars="200"/>
        <w:jc w:val="center"/>
        <w:rPr>
          <w:rFonts w:ascii="黑体" w:hAnsi="黑体" w:eastAsia="黑体"/>
          <w:sz w:val="32"/>
          <w:szCs w:val="32"/>
        </w:rPr>
      </w:pPr>
      <w:r>
        <w:rPr>
          <w:rFonts w:hint="eastAsia" w:ascii="黑体" w:hAnsi="黑体" w:eastAsia="黑体"/>
          <w:sz w:val="32"/>
          <w:szCs w:val="32"/>
        </w:rPr>
        <w:t>第三章 附则</w:t>
      </w:r>
    </w:p>
    <w:p>
      <w:pPr>
        <w:spacing w:line="600" w:lineRule="exact"/>
        <w:ind w:firstLine="643" w:firstLineChars="200"/>
        <w:jc w:val="left"/>
        <w:rPr>
          <w:rFonts w:hint="eastAsia" w:ascii="仿宋" w:hAnsi="仿宋" w:eastAsia="仿宋"/>
          <w:b/>
          <w:sz w:val="32"/>
          <w:szCs w:val="32"/>
        </w:rPr>
      </w:pPr>
    </w:p>
    <w:p>
      <w:pPr>
        <w:spacing w:line="600" w:lineRule="exact"/>
        <w:ind w:firstLine="643" w:firstLineChars="200"/>
        <w:jc w:val="left"/>
        <w:rPr>
          <w:rFonts w:ascii="仿宋" w:hAnsi="仿宋" w:eastAsia="仿宋"/>
          <w:sz w:val="32"/>
          <w:szCs w:val="32"/>
        </w:rPr>
      </w:pPr>
      <w:r>
        <w:rPr>
          <w:rFonts w:hint="eastAsia" w:ascii="仿宋" w:hAnsi="仿宋" w:eastAsia="仿宋"/>
          <w:b/>
          <w:sz w:val="32"/>
          <w:szCs w:val="32"/>
        </w:rPr>
        <w:t>第十二条</w:t>
      </w:r>
      <w:r>
        <w:rPr>
          <w:rFonts w:hint="eastAsia" w:ascii="仿宋" w:hAnsi="仿宋" w:eastAsia="仿宋"/>
          <w:sz w:val="32"/>
          <w:szCs w:val="32"/>
        </w:rPr>
        <w:t xml:space="preserve"> 三级审核中所有流程的审核意见均纳入档案管理。土地估价机构应安排专人负责土地估价档案的管理工作，档案管理人员应按项目对估价工作底稿进行存档管理。</w:t>
      </w:r>
    </w:p>
    <w:p>
      <w:pPr>
        <w:spacing w:line="600" w:lineRule="exact"/>
        <w:ind w:firstLine="643" w:firstLineChars="200"/>
        <w:jc w:val="left"/>
        <w:rPr>
          <w:rFonts w:ascii="仿宋" w:hAnsi="仿宋" w:eastAsia="仿宋"/>
          <w:sz w:val="32"/>
          <w:szCs w:val="32"/>
        </w:rPr>
      </w:pPr>
      <w:r>
        <w:rPr>
          <w:rFonts w:hint="eastAsia" w:ascii="仿宋" w:hAnsi="仿宋" w:eastAsia="仿宋"/>
          <w:b/>
          <w:sz w:val="32"/>
          <w:szCs w:val="32"/>
        </w:rPr>
        <w:t>第十三条</w:t>
      </w:r>
      <w:r>
        <w:rPr>
          <w:rFonts w:hint="eastAsia" w:ascii="仿宋" w:hAnsi="仿宋" w:eastAsia="仿宋"/>
          <w:sz w:val="32"/>
          <w:szCs w:val="32"/>
        </w:rPr>
        <w:t xml:space="preserve"> 中估协及各</w:t>
      </w:r>
      <w:r>
        <w:rPr>
          <w:rFonts w:hint="eastAsia" w:ascii="仿宋" w:hAnsi="仿宋" w:eastAsia="仿宋" w:cs="仿宋"/>
          <w:sz w:val="32"/>
          <w:szCs w:val="32"/>
        </w:rPr>
        <w:t>省、自治区、直辖市土地估价行业协会在对三级审核制度执行情况的检查中发现的问题，将按照行业自律管理的相关规定进行相应处罚，并报自然资源行政管理部门备案。</w:t>
      </w:r>
    </w:p>
    <w:p>
      <w:pPr>
        <w:spacing w:line="600" w:lineRule="exact"/>
        <w:ind w:firstLine="643" w:firstLineChars="200"/>
        <w:jc w:val="left"/>
        <w:rPr>
          <w:rFonts w:ascii="仿宋" w:hAnsi="仿宋" w:eastAsia="仿宋"/>
          <w:sz w:val="32"/>
          <w:szCs w:val="32"/>
        </w:rPr>
      </w:pPr>
      <w:r>
        <w:rPr>
          <w:rFonts w:hint="eastAsia" w:ascii="仿宋" w:hAnsi="仿宋" w:eastAsia="仿宋"/>
          <w:b/>
          <w:sz w:val="32"/>
          <w:szCs w:val="32"/>
        </w:rPr>
        <w:t xml:space="preserve">第十四条 </w:t>
      </w:r>
      <w:r>
        <w:rPr>
          <w:rFonts w:hint="eastAsia" w:ascii="仿宋" w:hAnsi="仿宋" w:eastAsia="仿宋"/>
          <w:sz w:val="32"/>
          <w:szCs w:val="32"/>
        </w:rPr>
        <w:t>本指导意见由中估协负责解释。</w:t>
      </w:r>
    </w:p>
    <w:p>
      <w:pPr>
        <w:spacing w:line="600" w:lineRule="exact"/>
        <w:ind w:firstLine="643" w:firstLineChars="200"/>
        <w:jc w:val="left"/>
        <w:rPr>
          <w:rFonts w:ascii="仿宋" w:hAnsi="仿宋" w:eastAsia="仿宋"/>
          <w:sz w:val="32"/>
          <w:szCs w:val="32"/>
        </w:rPr>
        <w:sectPr>
          <w:footerReference r:id="rId3" w:type="default"/>
          <w:footerReference r:id="rId4" w:type="even"/>
          <w:pgSz w:w="11906" w:h="16838"/>
          <w:pgMar w:top="1531" w:right="1304" w:bottom="1418" w:left="1361" w:header="851" w:footer="1418" w:gutter="0"/>
          <w:pgNumType w:start="1"/>
          <w:cols w:space="720" w:num="1"/>
          <w:docGrid w:type="lines" w:linePitch="312" w:charSpace="0"/>
        </w:sectPr>
      </w:pPr>
      <w:r>
        <w:rPr>
          <w:rFonts w:hint="eastAsia" w:ascii="仿宋" w:hAnsi="仿宋" w:eastAsia="仿宋"/>
          <w:b/>
          <w:sz w:val="32"/>
          <w:szCs w:val="32"/>
        </w:rPr>
        <w:t>第十五条</w:t>
      </w:r>
      <w:r>
        <w:rPr>
          <w:rFonts w:hint="eastAsia" w:ascii="仿宋" w:hAnsi="仿宋" w:eastAsia="仿宋"/>
          <w:sz w:val="32"/>
          <w:szCs w:val="32"/>
        </w:rPr>
        <w:t xml:space="preserve"> 本指导意见自发布之日起施行。</w:t>
      </w:r>
    </w:p>
    <w:p>
      <w:pPr>
        <w:adjustRightInd w:val="0"/>
        <w:jc w:val="center"/>
        <w:rPr>
          <w:rFonts w:ascii="黑体" w:hAnsi="黑体" w:eastAsia="黑体"/>
          <w:sz w:val="36"/>
          <w:szCs w:val="36"/>
        </w:rPr>
      </w:pPr>
      <w:r>
        <w:rPr>
          <w:rFonts w:hint="eastAsia" w:ascii="黑体" w:hAnsi="黑体" w:eastAsia="黑体"/>
          <w:sz w:val="32"/>
          <w:szCs w:val="32"/>
        </w:rPr>
        <w:t>审核流转单</w:t>
      </w:r>
    </w:p>
    <w:p>
      <w:pPr>
        <w:adjustRightInd w:val="0"/>
        <w:jc w:val="left"/>
        <w:rPr>
          <w:b/>
          <w:sz w:val="24"/>
          <w:szCs w:val="32"/>
        </w:rPr>
      </w:pPr>
      <w:r>
        <w:rPr>
          <w:rFonts w:hint="eastAsia"/>
          <w:b/>
          <w:sz w:val="24"/>
          <w:szCs w:val="32"/>
        </w:rPr>
        <w:t xml:space="preserve">机构名称： </w:t>
      </w:r>
      <w:r>
        <w:rPr>
          <w:b/>
          <w:sz w:val="24"/>
          <w:szCs w:val="32"/>
        </w:rPr>
        <w:t xml:space="preserve">                                        </w:t>
      </w:r>
      <w:r>
        <w:rPr>
          <w:rFonts w:hint="eastAsia"/>
          <w:b/>
          <w:sz w:val="24"/>
          <w:szCs w:val="32"/>
        </w:rPr>
        <w:t>编号：</w:t>
      </w:r>
    </w:p>
    <w:tbl>
      <w:tblPr>
        <w:tblStyle w:val="9"/>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3402"/>
        <w:gridCol w:w="1270"/>
        <w:gridCol w:w="2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2122" w:type="dxa"/>
            <w:noWrap w:val="0"/>
            <w:vAlign w:val="center"/>
          </w:tcPr>
          <w:p>
            <w:pPr>
              <w:adjustRightInd w:val="0"/>
              <w:jc w:val="center"/>
              <w:rPr>
                <w:rFonts w:ascii="仿宋" w:hAnsi="仿宋" w:eastAsia="仿宋"/>
                <w:b/>
                <w:sz w:val="24"/>
                <w:szCs w:val="21"/>
              </w:rPr>
            </w:pPr>
            <w:r>
              <w:rPr>
                <w:rFonts w:hint="eastAsia" w:ascii="仿宋" w:hAnsi="仿宋" w:eastAsia="仿宋"/>
                <w:b/>
                <w:sz w:val="24"/>
                <w:szCs w:val="21"/>
              </w:rPr>
              <w:t>项目名称</w:t>
            </w:r>
          </w:p>
        </w:tc>
        <w:tc>
          <w:tcPr>
            <w:tcW w:w="6917" w:type="dxa"/>
            <w:gridSpan w:val="3"/>
            <w:noWrap w:val="0"/>
            <w:vAlign w:val="center"/>
          </w:tcPr>
          <w:p>
            <w:pPr>
              <w:adjustRightInd w:val="0"/>
              <w:jc w:val="center"/>
              <w:rPr>
                <w:rFonts w:ascii="仿宋" w:hAnsi="仿宋" w:eastAsia="仿宋"/>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9039" w:type="dxa"/>
            <w:gridSpan w:val="4"/>
            <w:noWrap w:val="0"/>
            <w:vAlign w:val="center"/>
          </w:tcPr>
          <w:p>
            <w:pPr>
              <w:jc w:val="center"/>
              <w:rPr>
                <w:rFonts w:ascii="仿宋" w:hAnsi="仿宋" w:eastAsia="仿宋"/>
                <w:b/>
                <w:sz w:val="24"/>
                <w:szCs w:val="21"/>
              </w:rPr>
            </w:pPr>
            <w:r>
              <w:rPr>
                <w:rFonts w:hint="eastAsia" w:ascii="仿宋" w:hAnsi="仿宋" w:eastAsia="仿宋"/>
                <w:b/>
                <w:sz w:val="24"/>
                <w:szCs w:val="21"/>
              </w:rPr>
              <w:t>初审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2" w:hRule="atLeast"/>
        </w:trPr>
        <w:tc>
          <w:tcPr>
            <w:tcW w:w="5524" w:type="dxa"/>
            <w:gridSpan w:val="2"/>
            <w:vMerge w:val="restart"/>
            <w:noWrap w:val="0"/>
            <w:vAlign w:val="top"/>
          </w:tcPr>
          <w:p>
            <w:pPr>
              <w:rPr>
                <w:rFonts w:ascii="仿宋" w:hAnsi="仿宋" w:eastAsia="仿宋"/>
                <w:sz w:val="24"/>
                <w:szCs w:val="21"/>
              </w:rPr>
            </w:pPr>
            <w:r>
              <w:rPr>
                <w:rFonts w:hint="eastAsia" w:ascii="仿宋" w:hAnsi="仿宋" w:eastAsia="仿宋"/>
                <w:sz w:val="24"/>
                <w:szCs w:val="21"/>
              </w:rPr>
              <w:t>初审意见：</w:t>
            </w:r>
          </w:p>
        </w:tc>
        <w:tc>
          <w:tcPr>
            <w:tcW w:w="3515" w:type="dxa"/>
            <w:gridSpan w:val="2"/>
            <w:noWrap w:val="0"/>
            <w:vAlign w:val="top"/>
          </w:tcPr>
          <w:p>
            <w:pPr>
              <w:rPr>
                <w:rFonts w:ascii="仿宋" w:hAnsi="仿宋" w:eastAsia="仿宋"/>
                <w:sz w:val="24"/>
                <w:szCs w:val="21"/>
              </w:rPr>
            </w:pPr>
            <w:r>
              <w:rPr>
                <w:rFonts w:hint="eastAsia" w:ascii="仿宋" w:hAnsi="仿宋" w:eastAsia="仿宋"/>
                <w:sz w:val="24"/>
                <w:szCs w:val="21"/>
              </w:rPr>
              <w:t>特殊事项披露：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5524" w:type="dxa"/>
            <w:gridSpan w:val="2"/>
            <w:vMerge w:val="continue"/>
            <w:noWrap w:val="0"/>
            <w:vAlign w:val="top"/>
          </w:tcPr>
          <w:p>
            <w:pPr>
              <w:rPr>
                <w:rFonts w:ascii="仿宋" w:hAnsi="仿宋" w:eastAsia="仿宋"/>
                <w:sz w:val="24"/>
                <w:szCs w:val="21"/>
              </w:rPr>
            </w:pPr>
          </w:p>
        </w:tc>
        <w:tc>
          <w:tcPr>
            <w:tcW w:w="1270" w:type="dxa"/>
            <w:noWrap w:val="0"/>
            <w:vAlign w:val="center"/>
          </w:tcPr>
          <w:p>
            <w:pPr>
              <w:jc w:val="center"/>
              <w:rPr>
                <w:rFonts w:ascii="仿宋" w:hAnsi="仿宋" w:eastAsia="仿宋"/>
                <w:sz w:val="24"/>
                <w:szCs w:val="21"/>
              </w:rPr>
            </w:pPr>
            <w:r>
              <w:rPr>
                <w:rFonts w:hint="eastAsia" w:ascii="仿宋" w:hAnsi="仿宋" w:eastAsia="仿宋"/>
                <w:sz w:val="24"/>
                <w:szCs w:val="21"/>
              </w:rPr>
              <w:t>签名</w:t>
            </w:r>
          </w:p>
        </w:tc>
        <w:tc>
          <w:tcPr>
            <w:tcW w:w="2245" w:type="dxa"/>
            <w:noWrap w:val="0"/>
            <w:vAlign w:val="top"/>
          </w:tcPr>
          <w:p>
            <w:pPr>
              <w:rPr>
                <w:rFonts w:ascii="仿宋" w:hAnsi="仿宋" w:eastAsia="仿宋"/>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5524" w:type="dxa"/>
            <w:gridSpan w:val="2"/>
            <w:vMerge w:val="continue"/>
            <w:noWrap w:val="0"/>
            <w:vAlign w:val="center"/>
          </w:tcPr>
          <w:p>
            <w:pPr>
              <w:jc w:val="center"/>
              <w:rPr>
                <w:rFonts w:ascii="仿宋" w:hAnsi="仿宋" w:eastAsia="仿宋"/>
                <w:sz w:val="24"/>
                <w:szCs w:val="21"/>
              </w:rPr>
            </w:pPr>
          </w:p>
        </w:tc>
        <w:tc>
          <w:tcPr>
            <w:tcW w:w="1270" w:type="dxa"/>
            <w:noWrap w:val="0"/>
            <w:vAlign w:val="center"/>
          </w:tcPr>
          <w:p>
            <w:pPr>
              <w:jc w:val="center"/>
              <w:rPr>
                <w:rFonts w:ascii="仿宋" w:hAnsi="仿宋" w:eastAsia="仿宋"/>
                <w:sz w:val="24"/>
                <w:szCs w:val="21"/>
              </w:rPr>
            </w:pPr>
            <w:r>
              <w:rPr>
                <w:rFonts w:hint="eastAsia" w:ascii="仿宋" w:hAnsi="仿宋" w:eastAsia="仿宋"/>
                <w:sz w:val="24"/>
                <w:szCs w:val="21"/>
              </w:rPr>
              <w:t>日期</w:t>
            </w:r>
          </w:p>
        </w:tc>
        <w:tc>
          <w:tcPr>
            <w:tcW w:w="2245" w:type="dxa"/>
            <w:noWrap w:val="0"/>
            <w:vAlign w:val="center"/>
          </w:tcPr>
          <w:p>
            <w:pPr>
              <w:jc w:val="center"/>
              <w:rPr>
                <w:rFonts w:ascii="仿宋" w:hAnsi="仿宋" w:eastAsia="仿宋"/>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9039" w:type="dxa"/>
            <w:gridSpan w:val="4"/>
            <w:noWrap w:val="0"/>
            <w:vAlign w:val="center"/>
          </w:tcPr>
          <w:p>
            <w:pPr>
              <w:jc w:val="center"/>
              <w:rPr>
                <w:rFonts w:ascii="仿宋" w:hAnsi="仿宋" w:eastAsia="仿宋"/>
                <w:sz w:val="24"/>
                <w:szCs w:val="21"/>
              </w:rPr>
            </w:pPr>
            <w:r>
              <w:rPr>
                <w:rFonts w:hint="eastAsia" w:ascii="仿宋" w:hAnsi="仿宋" w:eastAsia="仿宋"/>
                <w:b/>
                <w:sz w:val="24"/>
                <w:szCs w:val="21"/>
              </w:rPr>
              <w:t>复审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5524" w:type="dxa"/>
            <w:gridSpan w:val="2"/>
            <w:vMerge w:val="restart"/>
            <w:noWrap w:val="0"/>
            <w:vAlign w:val="top"/>
          </w:tcPr>
          <w:p>
            <w:pPr>
              <w:rPr>
                <w:rFonts w:ascii="仿宋" w:hAnsi="仿宋" w:eastAsia="仿宋"/>
                <w:sz w:val="24"/>
                <w:szCs w:val="21"/>
              </w:rPr>
            </w:pPr>
            <w:r>
              <w:rPr>
                <w:rFonts w:hint="eastAsia" w:ascii="仿宋" w:hAnsi="仿宋" w:eastAsia="仿宋"/>
                <w:sz w:val="24"/>
                <w:szCs w:val="21"/>
              </w:rPr>
              <w:t>复审意见：</w:t>
            </w:r>
          </w:p>
        </w:tc>
        <w:tc>
          <w:tcPr>
            <w:tcW w:w="3515" w:type="dxa"/>
            <w:gridSpan w:val="2"/>
            <w:noWrap w:val="0"/>
            <w:vAlign w:val="top"/>
          </w:tcPr>
          <w:p>
            <w:pPr>
              <w:rPr>
                <w:rFonts w:ascii="仿宋" w:hAnsi="仿宋" w:eastAsia="仿宋"/>
                <w:sz w:val="24"/>
                <w:szCs w:val="21"/>
              </w:rPr>
            </w:pPr>
            <w:r>
              <w:rPr>
                <w:rFonts w:hint="eastAsia" w:ascii="仿宋" w:hAnsi="仿宋" w:eastAsia="仿宋"/>
                <w:sz w:val="24"/>
                <w:szCs w:val="21"/>
              </w:rPr>
              <w:t>检查特殊事项披露是否合理、是否有遗漏：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5524" w:type="dxa"/>
            <w:gridSpan w:val="2"/>
            <w:vMerge w:val="continue"/>
            <w:noWrap w:val="0"/>
            <w:vAlign w:val="top"/>
          </w:tcPr>
          <w:p>
            <w:pPr>
              <w:rPr>
                <w:rFonts w:ascii="仿宋" w:hAnsi="仿宋" w:eastAsia="仿宋"/>
                <w:sz w:val="24"/>
                <w:szCs w:val="21"/>
              </w:rPr>
            </w:pPr>
          </w:p>
        </w:tc>
        <w:tc>
          <w:tcPr>
            <w:tcW w:w="1270" w:type="dxa"/>
            <w:noWrap w:val="0"/>
            <w:vAlign w:val="center"/>
          </w:tcPr>
          <w:p>
            <w:pPr>
              <w:jc w:val="center"/>
              <w:rPr>
                <w:rFonts w:ascii="仿宋" w:hAnsi="仿宋" w:eastAsia="仿宋"/>
                <w:sz w:val="24"/>
                <w:szCs w:val="21"/>
              </w:rPr>
            </w:pPr>
            <w:r>
              <w:rPr>
                <w:rFonts w:hint="eastAsia" w:ascii="仿宋" w:hAnsi="仿宋" w:eastAsia="仿宋"/>
                <w:sz w:val="24"/>
                <w:szCs w:val="21"/>
              </w:rPr>
              <w:t>签名</w:t>
            </w:r>
          </w:p>
        </w:tc>
        <w:tc>
          <w:tcPr>
            <w:tcW w:w="2245" w:type="dxa"/>
            <w:noWrap w:val="0"/>
            <w:vAlign w:val="top"/>
          </w:tcPr>
          <w:p>
            <w:pPr>
              <w:rPr>
                <w:rFonts w:ascii="仿宋" w:hAnsi="仿宋" w:eastAsia="仿宋"/>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5524" w:type="dxa"/>
            <w:gridSpan w:val="2"/>
            <w:vMerge w:val="continue"/>
            <w:noWrap w:val="0"/>
            <w:vAlign w:val="center"/>
          </w:tcPr>
          <w:p>
            <w:pPr>
              <w:jc w:val="center"/>
              <w:rPr>
                <w:rFonts w:ascii="仿宋" w:hAnsi="仿宋" w:eastAsia="仿宋"/>
                <w:sz w:val="24"/>
                <w:szCs w:val="21"/>
              </w:rPr>
            </w:pPr>
          </w:p>
        </w:tc>
        <w:tc>
          <w:tcPr>
            <w:tcW w:w="1270" w:type="dxa"/>
            <w:noWrap w:val="0"/>
            <w:vAlign w:val="center"/>
          </w:tcPr>
          <w:p>
            <w:pPr>
              <w:jc w:val="center"/>
              <w:rPr>
                <w:rFonts w:ascii="仿宋" w:hAnsi="仿宋" w:eastAsia="仿宋"/>
                <w:sz w:val="24"/>
                <w:szCs w:val="21"/>
              </w:rPr>
            </w:pPr>
            <w:r>
              <w:rPr>
                <w:rFonts w:hint="eastAsia" w:ascii="仿宋" w:hAnsi="仿宋" w:eastAsia="仿宋"/>
                <w:sz w:val="24"/>
                <w:szCs w:val="21"/>
              </w:rPr>
              <w:t>日期</w:t>
            </w:r>
          </w:p>
        </w:tc>
        <w:tc>
          <w:tcPr>
            <w:tcW w:w="2245" w:type="dxa"/>
            <w:noWrap w:val="0"/>
            <w:vAlign w:val="center"/>
          </w:tcPr>
          <w:p>
            <w:pPr>
              <w:jc w:val="center"/>
              <w:rPr>
                <w:rFonts w:ascii="仿宋" w:hAnsi="仿宋" w:eastAsia="仿宋"/>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9039" w:type="dxa"/>
            <w:gridSpan w:val="4"/>
            <w:noWrap w:val="0"/>
            <w:vAlign w:val="center"/>
          </w:tcPr>
          <w:p>
            <w:pPr>
              <w:jc w:val="center"/>
              <w:rPr>
                <w:rFonts w:ascii="仿宋" w:hAnsi="仿宋" w:eastAsia="仿宋"/>
                <w:sz w:val="24"/>
                <w:szCs w:val="21"/>
              </w:rPr>
            </w:pPr>
            <w:r>
              <w:rPr>
                <w:rFonts w:hint="eastAsia" w:ascii="仿宋" w:hAnsi="仿宋" w:eastAsia="仿宋"/>
                <w:b/>
                <w:sz w:val="24"/>
                <w:szCs w:val="21"/>
              </w:rPr>
              <w:t>终审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5524" w:type="dxa"/>
            <w:gridSpan w:val="2"/>
            <w:vMerge w:val="restart"/>
            <w:noWrap w:val="0"/>
            <w:vAlign w:val="top"/>
          </w:tcPr>
          <w:p>
            <w:pPr>
              <w:rPr>
                <w:rFonts w:ascii="仿宋" w:hAnsi="仿宋" w:eastAsia="仿宋"/>
                <w:sz w:val="24"/>
                <w:szCs w:val="21"/>
              </w:rPr>
            </w:pPr>
            <w:r>
              <w:rPr>
                <w:rFonts w:hint="eastAsia" w:ascii="仿宋" w:hAnsi="仿宋" w:eastAsia="仿宋"/>
                <w:sz w:val="24"/>
                <w:szCs w:val="21"/>
              </w:rPr>
              <w:t>终审意见：</w:t>
            </w:r>
          </w:p>
        </w:tc>
        <w:tc>
          <w:tcPr>
            <w:tcW w:w="3515" w:type="dxa"/>
            <w:gridSpan w:val="2"/>
            <w:noWrap w:val="0"/>
            <w:vAlign w:val="top"/>
          </w:tcPr>
          <w:p>
            <w:pPr>
              <w:rPr>
                <w:rFonts w:ascii="仿宋" w:hAnsi="仿宋" w:eastAsia="仿宋"/>
                <w:sz w:val="24"/>
                <w:szCs w:val="21"/>
              </w:rPr>
            </w:pPr>
            <w:r>
              <w:rPr>
                <w:rFonts w:hint="eastAsia" w:ascii="仿宋" w:hAnsi="仿宋" w:eastAsia="仿宋"/>
                <w:sz w:val="24"/>
                <w:szCs w:val="21"/>
              </w:rPr>
              <w:t>对特殊事项进行审查：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5524" w:type="dxa"/>
            <w:gridSpan w:val="2"/>
            <w:vMerge w:val="continue"/>
            <w:noWrap w:val="0"/>
            <w:vAlign w:val="top"/>
          </w:tcPr>
          <w:p>
            <w:pPr>
              <w:rPr>
                <w:rFonts w:ascii="仿宋" w:hAnsi="仿宋" w:eastAsia="仿宋"/>
                <w:sz w:val="24"/>
                <w:szCs w:val="21"/>
              </w:rPr>
            </w:pPr>
          </w:p>
        </w:tc>
        <w:tc>
          <w:tcPr>
            <w:tcW w:w="1270" w:type="dxa"/>
            <w:noWrap w:val="0"/>
            <w:vAlign w:val="center"/>
          </w:tcPr>
          <w:p>
            <w:pPr>
              <w:jc w:val="center"/>
              <w:rPr>
                <w:rFonts w:ascii="仿宋" w:hAnsi="仿宋" w:eastAsia="仿宋"/>
                <w:sz w:val="24"/>
                <w:szCs w:val="21"/>
              </w:rPr>
            </w:pPr>
            <w:r>
              <w:rPr>
                <w:rFonts w:hint="eastAsia" w:ascii="仿宋" w:hAnsi="仿宋" w:eastAsia="仿宋"/>
                <w:sz w:val="24"/>
                <w:szCs w:val="21"/>
              </w:rPr>
              <w:t>签名</w:t>
            </w:r>
          </w:p>
        </w:tc>
        <w:tc>
          <w:tcPr>
            <w:tcW w:w="2245" w:type="dxa"/>
            <w:noWrap w:val="0"/>
            <w:vAlign w:val="top"/>
          </w:tcPr>
          <w:p>
            <w:pPr>
              <w:rPr>
                <w:rFonts w:ascii="仿宋" w:hAnsi="仿宋" w:eastAsia="仿宋"/>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5524" w:type="dxa"/>
            <w:gridSpan w:val="2"/>
            <w:vMerge w:val="continue"/>
            <w:noWrap w:val="0"/>
            <w:vAlign w:val="top"/>
          </w:tcPr>
          <w:p>
            <w:pPr>
              <w:rPr>
                <w:rFonts w:ascii="仿宋" w:hAnsi="仿宋" w:eastAsia="仿宋"/>
                <w:sz w:val="24"/>
                <w:szCs w:val="21"/>
              </w:rPr>
            </w:pPr>
          </w:p>
        </w:tc>
        <w:tc>
          <w:tcPr>
            <w:tcW w:w="1270" w:type="dxa"/>
            <w:noWrap w:val="0"/>
            <w:vAlign w:val="center"/>
          </w:tcPr>
          <w:p>
            <w:pPr>
              <w:jc w:val="center"/>
              <w:rPr>
                <w:rFonts w:ascii="仿宋" w:hAnsi="仿宋" w:eastAsia="仿宋"/>
                <w:sz w:val="24"/>
                <w:szCs w:val="21"/>
              </w:rPr>
            </w:pPr>
            <w:r>
              <w:rPr>
                <w:rFonts w:hint="eastAsia" w:ascii="仿宋" w:hAnsi="仿宋" w:eastAsia="仿宋"/>
                <w:sz w:val="24"/>
                <w:szCs w:val="21"/>
              </w:rPr>
              <w:t>日期</w:t>
            </w:r>
          </w:p>
        </w:tc>
        <w:tc>
          <w:tcPr>
            <w:tcW w:w="2245" w:type="dxa"/>
            <w:noWrap w:val="0"/>
            <w:vAlign w:val="center"/>
          </w:tcPr>
          <w:p>
            <w:pPr>
              <w:jc w:val="center"/>
              <w:rPr>
                <w:rFonts w:ascii="仿宋" w:hAnsi="仿宋" w:eastAsia="仿宋"/>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9039" w:type="dxa"/>
            <w:gridSpan w:val="4"/>
            <w:noWrap w:val="0"/>
            <w:vAlign w:val="top"/>
          </w:tcPr>
          <w:p>
            <w:pPr>
              <w:rPr>
                <w:rFonts w:ascii="仿宋" w:hAnsi="仿宋" w:eastAsia="仿宋"/>
                <w:sz w:val="24"/>
                <w:szCs w:val="21"/>
              </w:rPr>
            </w:pPr>
            <w:r>
              <w:rPr>
                <w:rFonts w:hint="eastAsia" w:ascii="仿宋" w:hAnsi="仿宋" w:eastAsia="仿宋"/>
                <w:sz w:val="24"/>
                <w:szCs w:val="21"/>
              </w:rPr>
              <w:t>其他备注：</w:t>
            </w:r>
          </w:p>
        </w:tc>
      </w:tr>
    </w:tbl>
    <w:p>
      <w:pPr>
        <w:spacing w:line="600" w:lineRule="exact"/>
        <w:rPr>
          <w:rFonts w:ascii="仿宋_GB2312" w:eastAsia="仿宋_GB2312" w:cs="宋体"/>
          <w:kern w:val="0"/>
          <w:sz w:val="32"/>
          <w:szCs w:val="32"/>
        </w:rPr>
      </w:pPr>
    </w:p>
    <w:p>
      <w:pPr>
        <w:widowControl/>
        <w:autoSpaceDE w:val="0"/>
        <w:autoSpaceDN w:val="0"/>
        <w:snapToGrid w:val="0"/>
        <w:spacing w:line="360" w:lineRule="auto"/>
        <w:textAlignment w:val="bottom"/>
        <w:rPr>
          <w:rFonts w:hint="eastAsia" w:ascii="仿宋" w:hAnsi="仿宋" w:eastAsia="仿宋"/>
          <w:sz w:val="32"/>
          <w:szCs w:val="32"/>
        </w:rPr>
      </w:pPr>
    </w:p>
    <w:sectPr>
      <w:footerReference r:id="rId5" w:type="default"/>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02D050D-AE10-441C-ACF1-597CA9BC842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2" w:fontKey="{4EBC8DA1-03D8-43BC-9086-D8D959C5D910}"/>
  </w:font>
  <w:font w:name="仿宋_GB2312">
    <w:panose1 w:val="02010609030101010101"/>
    <w:charset w:val="86"/>
    <w:family w:val="modern"/>
    <w:pitch w:val="default"/>
    <w:sig w:usb0="00000001" w:usb1="080E0000" w:usb2="00000000" w:usb3="00000000" w:csb0="00040000" w:csb1="00000000"/>
    <w:embedRegular r:id="rId3" w:fontKey="{7698C03D-19CC-47A7-ABF9-8AAF00E2734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2"/>
      </w:rPr>
    </w:pPr>
    <w:r>
      <w:fldChar w:fldCharType="begin"/>
    </w:r>
    <w:r>
      <w:rPr>
        <w:rStyle w:val="12"/>
      </w:rPr>
      <w:instrText xml:space="preserve">PAGE  </w:instrText>
    </w:r>
    <w:r>
      <w:fldChar w:fldCharType="separate"/>
    </w:r>
    <w:r>
      <w:rPr>
        <w:rStyle w:val="12"/>
      </w:rPr>
      <w:t>1</w:t>
    </w:r>
    <w: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xYjJkODcxYmUzOWVlOTBmNmNiMTllZjZjYWIxYmQifQ=="/>
  </w:docVars>
  <w:rsids>
    <w:rsidRoot w:val="0E6236C4"/>
    <w:rsid w:val="00011067"/>
    <w:rsid w:val="00015E98"/>
    <w:rsid w:val="00036725"/>
    <w:rsid w:val="00073864"/>
    <w:rsid w:val="000B7F6A"/>
    <w:rsid w:val="001039ED"/>
    <w:rsid w:val="0011528B"/>
    <w:rsid w:val="00137013"/>
    <w:rsid w:val="001E03C0"/>
    <w:rsid w:val="00226F2C"/>
    <w:rsid w:val="00244979"/>
    <w:rsid w:val="00292B3B"/>
    <w:rsid w:val="002A384B"/>
    <w:rsid w:val="002D013A"/>
    <w:rsid w:val="002F7C1F"/>
    <w:rsid w:val="00324C2B"/>
    <w:rsid w:val="00355B92"/>
    <w:rsid w:val="003658DA"/>
    <w:rsid w:val="0037283A"/>
    <w:rsid w:val="003F7909"/>
    <w:rsid w:val="004C1AB9"/>
    <w:rsid w:val="004D7FA8"/>
    <w:rsid w:val="004F75A8"/>
    <w:rsid w:val="0052746C"/>
    <w:rsid w:val="00553921"/>
    <w:rsid w:val="005C5A07"/>
    <w:rsid w:val="005E0FA9"/>
    <w:rsid w:val="0060761D"/>
    <w:rsid w:val="0069253C"/>
    <w:rsid w:val="006B258A"/>
    <w:rsid w:val="006B3DB4"/>
    <w:rsid w:val="006D6D41"/>
    <w:rsid w:val="00713109"/>
    <w:rsid w:val="00726088"/>
    <w:rsid w:val="00736E60"/>
    <w:rsid w:val="007D1995"/>
    <w:rsid w:val="007F66A7"/>
    <w:rsid w:val="00801B9D"/>
    <w:rsid w:val="00814E1C"/>
    <w:rsid w:val="00862BB2"/>
    <w:rsid w:val="008B15BA"/>
    <w:rsid w:val="008B6EC2"/>
    <w:rsid w:val="008D4D41"/>
    <w:rsid w:val="00921AA4"/>
    <w:rsid w:val="00947B1B"/>
    <w:rsid w:val="00952F8C"/>
    <w:rsid w:val="009538E5"/>
    <w:rsid w:val="00995D15"/>
    <w:rsid w:val="009E375C"/>
    <w:rsid w:val="00A060D7"/>
    <w:rsid w:val="00A24A4A"/>
    <w:rsid w:val="00A56E59"/>
    <w:rsid w:val="00A775C9"/>
    <w:rsid w:val="00A905B8"/>
    <w:rsid w:val="00AC0AD3"/>
    <w:rsid w:val="00AD05E9"/>
    <w:rsid w:val="00B00C96"/>
    <w:rsid w:val="00B8063A"/>
    <w:rsid w:val="00BE0FE1"/>
    <w:rsid w:val="00C30917"/>
    <w:rsid w:val="00C30C54"/>
    <w:rsid w:val="00C55804"/>
    <w:rsid w:val="00C77985"/>
    <w:rsid w:val="00C87DE0"/>
    <w:rsid w:val="00CC40E6"/>
    <w:rsid w:val="00CD1E44"/>
    <w:rsid w:val="00CF4F4B"/>
    <w:rsid w:val="00D03B99"/>
    <w:rsid w:val="00D239FF"/>
    <w:rsid w:val="00D30437"/>
    <w:rsid w:val="00D335A6"/>
    <w:rsid w:val="00D602A2"/>
    <w:rsid w:val="00D65C82"/>
    <w:rsid w:val="00D76EB1"/>
    <w:rsid w:val="00D95A07"/>
    <w:rsid w:val="00DB4FE0"/>
    <w:rsid w:val="00E34260"/>
    <w:rsid w:val="00E9440D"/>
    <w:rsid w:val="00EA7683"/>
    <w:rsid w:val="00EB704F"/>
    <w:rsid w:val="00F450C6"/>
    <w:rsid w:val="00F66C20"/>
    <w:rsid w:val="00F715E4"/>
    <w:rsid w:val="00F723B5"/>
    <w:rsid w:val="00FB6A91"/>
    <w:rsid w:val="00FD3645"/>
    <w:rsid w:val="01633AA8"/>
    <w:rsid w:val="0167416D"/>
    <w:rsid w:val="019404F8"/>
    <w:rsid w:val="01DC0C1D"/>
    <w:rsid w:val="02664D67"/>
    <w:rsid w:val="027D0F8C"/>
    <w:rsid w:val="039C61AD"/>
    <w:rsid w:val="042E0790"/>
    <w:rsid w:val="04D8506D"/>
    <w:rsid w:val="05092FAB"/>
    <w:rsid w:val="051C785C"/>
    <w:rsid w:val="053718C6"/>
    <w:rsid w:val="063D2F0C"/>
    <w:rsid w:val="06A116ED"/>
    <w:rsid w:val="06C21663"/>
    <w:rsid w:val="07381172"/>
    <w:rsid w:val="078801B7"/>
    <w:rsid w:val="08123F24"/>
    <w:rsid w:val="08202AE5"/>
    <w:rsid w:val="08400A92"/>
    <w:rsid w:val="0A965185"/>
    <w:rsid w:val="0ADD081A"/>
    <w:rsid w:val="0B116715"/>
    <w:rsid w:val="0B894434"/>
    <w:rsid w:val="0BDC31C7"/>
    <w:rsid w:val="0C1D77CB"/>
    <w:rsid w:val="0C1E558E"/>
    <w:rsid w:val="0C895323"/>
    <w:rsid w:val="0E1409F6"/>
    <w:rsid w:val="0E1418DF"/>
    <w:rsid w:val="0E6236C4"/>
    <w:rsid w:val="0F0C4C30"/>
    <w:rsid w:val="0F1C5605"/>
    <w:rsid w:val="0F4B48EC"/>
    <w:rsid w:val="0FD7617F"/>
    <w:rsid w:val="105C6685"/>
    <w:rsid w:val="11567E84"/>
    <w:rsid w:val="125F245C"/>
    <w:rsid w:val="126A32DB"/>
    <w:rsid w:val="12BD3BE2"/>
    <w:rsid w:val="12C329EB"/>
    <w:rsid w:val="136917E4"/>
    <w:rsid w:val="13AF2F6F"/>
    <w:rsid w:val="143D44FB"/>
    <w:rsid w:val="14932D21"/>
    <w:rsid w:val="16AD79DF"/>
    <w:rsid w:val="17CE7E68"/>
    <w:rsid w:val="180232D1"/>
    <w:rsid w:val="19793E03"/>
    <w:rsid w:val="1A8D72B3"/>
    <w:rsid w:val="1BF66840"/>
    <w:rsid w:val="1C741AE5"/>
    <w:rsid w:val="1CD203FA"/>
    <w:rsid w:val="1CF30928"/>
    <w:rsid w:val="1CFD4741"/>
    <w:rsid w:val="1EEE7042"/>
    <w:rsid w:val="1F3709E9"/>
    <w:rsid w:val="20564E9E"/>
    <w:rsid w:val="20847C5E"/>
    <w:rsid w:val="20FC3C98"/>
    <w:rsid w:val="212E4BA3"/>
    <w:rsid w:val="217A72A8"/>
    <w:rsid w:val="219E4D4F"/>
    <w:rsid w:val="21B03A86"/>
    <w:rsid w:val="22A55E4D"/>
    <w:rsid w:val="239F00DB"/>
    <w:rsid w:val="23E9602A"/>
    <w:rsid w:val="24771887"/>
    <w:rsid w:val="2480073C"/>
    <w:rsid w:val="24883A94"/>
    <w:rsid w:val="24FA38B3"/>
    <w:rsid w:val="26BB3CAD"/>
    <w:rsid w:val="26CC5EBA"/>
    <w:rsid w:val="28A873D6"/>
    <w:rsid w:val="28AF7842"/>
    <w:rsid w:val="28ED036A"/>
    <w:rsid w:val="29910CF5"/>
    <w:rsid w:val="29A34E19"/>
    <w:rsid w:val="29DA6B40"/>
    <w:rsid w:val="2A6401B8"/>
    <w:rsid w:val="2A984A5D"/>
    <w:rsid w:val="2ADF6AAE"/>
    <w:rsid w:val="2B1F1D49"/>
    <w:rsid w:val="2B9E4571"/>
    <w:rsid w:val="2CDC2BCF"/>
    <w:rsid w:val="2D27759C"/>
    <w:rsid w:val="2D4F514F"/>
    <w:rsid w:val="2DA3549B"/>
    <w:rsid w:val="2E2465DC"/>
    <w:rsid w:val="2E9B159F"/>
    <w:rsid w:val="2F774A00"/>
    <w:rsid w:val="2FB23983"/>
    <w:rsid w:val="2FC5794B"/>
    <w:rsid w:val="2FF87910"/>
    <w:rsid w:val="30227D0C"/>
    <w:rsid w:val="30CB6CB1"/>
    <w:rsid w:val="31327262"/>
    <w:rsid w:val="3175714F"/>
    <w:rsid w:val="317B7EEB"/>
    <w:rsid w:val="3186135C"/>
    <w:rsid w:val="31BE0AF5"/>
    <w:rsid w:val="32330EFE"/>
    <w:rsid w:val="33D463AE"/>
    <w:rsid w:val="340053F5"/>
    <w:rsid w:val="34C226AB"/>
    <w:rsid w:val="34C46423"/>
    <w:rsid w:val="350031D3"/>
    <w:rsid w:val="35063873"/>
    <w:rsid w:val="351A4295"/>
    <w:rsid w:val="351E3E59"/>
    <w:rsid w:val="35725E7F"/>
    <w:rsid w:val="36031455"/>
    <w:rsid w:val="36C2305F"/>
    <w:rsid w:val="3702072A"/>
    <w:rsid w:val="37AE5168"/>
    <w:rsid w:val="37C808B5"/>
    <w:rsid w:val="38934A8A"/>
    <w:rsid w:val="38A81BB8"/>
    <w:rsid w:val="38F87018"/>
    <w:rsid w:val="39186D3D"/>
    <w:rsid w:val="39B50A30"/>
    <w:rsid w:val="39E63318"/>
    <w:rsid w:val="3C1B7F1A"/>
    <w:rsid w:val="3C322840"/>
    <w:rsid w:val="3CBE5E4E"/>
    <w:rsid w:val="3D663431"/>
    <w:rsid w:val="3E8D1F7B"/>
    <w:rsid w:val="3F486450"/>
    <w:rsid w:val="3FAA03A1"/>
    <w:rsid w:val="3FBC3039"/>
    <w:rsid w:val="3FC81579"/>
    <w:rsid w:val="40442B0E"/>
    <w:rsid w:val="41083B3B"/>
    <w:rsid w:val="415C79E3"/>
    <w:rsid w:val="41F8595E"/>
    <w:rsid w:val="42100EF9"/>
    <w:rsid w:val="424566C9"/>
    <w:rsid w:val="431A1904"/>
    <w:rsid w:val="43324E9F"/>
    <w:rsid w:val="43AF64F0"/>
    <w:rsid w:val="44444E8A"/>
    <w:rsid w:val="44EC280A"/>
    <w:rsid w:val="44FF7003"/>
    <w:rsid w:val="45AC0F39"/>
    <w:rsid w:val="463A4797"/>
    <w:rsid w:val="46E46B71"/>
    <w:rsid w:val="489E742F"/>
    <w:rsid w:val="48B60321"/>
    <w:rsid w:val="4B694FD5"/>
    <w:rsid w:val="4C523EBC"/>
    <w:rsid w:val="4C573D94"/>
    <w:rsid w:val="4C8C3872"/>
    <w:rsid w:val="4DA90454"/>
    <w:rsid w:val="4E8D30C2"/>
    <w:rsid w:val="4EC45545"/>
    <w:rsid w:val="4FBA6059"/>
    <w:rsid w:val="4FDA2B47"/>
    <w:rsid w:val="501047BA"/>
    <w:rsid w:val="502344EE"/>
    <w:rsid w:val="50504BB7"/>
    <w:rsid w:val="50C84CD3"/>
    <w:rsid w:val="50D0607C"/>
    <w:rsid w:val="51615C1A"/>
    <w:rsid w:val="519311FF"/>
    <w:rsid w:val="52BB3073"/>
    <w:rsid w:val="52EC6E19"/>
    <w:rsid w:val="53C733E2"/>
    <w:rsid w:val="540B1521"/>
    <w:rsid w:val="540C5299"/>
    <w:rsid w:val="544E5247"/>
    <w:rsid w:val="552C5BF2"/>
    <w:rsid w:val="5551307D"/>
    <w:rsid w:val="555C6D26"/>
    <w:rsid w:val="5596112E"/>
    <w:rsid w:val="55F304BE"/>
    <w:rsid w:val="560F231E"/>
    <w:rsid w:val="56242D6E"/>
    <w:rsid w:val="563805C7"/>
    <w:rsid w:val="564F1A57"/>
    <w:rsid w:val="56E66275"/>
    <w:rsid w:val="57144B90"/>
    <w:rsid w:val="571F7091"/>
    <w:rsid w:val="57DD31D4"/>
    <w:rsid w:val="57FC5D21"/>
    <w:rsid w:val="58AB4B55"/>
    <w:rsid w:val="58BE3005"/>
    <w:rsid w:val="5AC25C0D"/>
    <w:rsid w:val="5AE66844"/>
    <w:rsid w:val="5B3C6463"/>
    <w:rsid w:val="5B7200D7"/>
    <w:rsid w:val="5BCF552A"/>
    <w:rsid w:val="5C50666A"/>
    <w:rsid w:val="5CB85FBE"/>
    <w:rsid w:val="5D0B3076"/>
    <w:rsid w:val="5D2D075A"/>
    <w:rsid w:val="5E3B6EA6"/>
    <w:rsid w:val="5E507D1A"/>
    <w:rsid w:val="5ECF75EF"/>
    <w:rsid w:val="5F683CCB"/>
    <w:rsid w:val="5F745BBA"/>
    <w:rsid w:val="5FD924D3"/>
    <w:rsid w:val="60F95E3D"/>
    <w:rsid w:val="62420CE9"/>
    <w:rsid w:val="626C3AD2"/>
    <w:rsid w:val="629152E7"/>
    <w:rsid w:val="62BD1E39"/>
    <w:rsid w:val="632B49B8"/>
    <w:rsid w:val="638D1F52"/>
    <w:rsid w:val="641937E6"/>
    <w:rsid w:val="652E14A2"/>
    <w:rsid w:val="65D110FB"/>
    <w:rsid w:val="65FF4C5D"/>
    <w:rsid w:val="6646463A"/>
    <w:rsid w:val="676236F6"/>
    <w:rsid w:val="678418BE"/>
    <w:rsid w:val="67A4786A"/>
    <w:rsid w:val="693A03EA"/>
    <w:rsid w:val="695B664F"/>
    <w:rsid w:val="696F6278"/>
    <w:rsid w:val="69F61ED3"/>
    <w:rsid w:val="6A2E3D63"/>
    <w:rsid w:val="6A7C0C26"/>
    <w:rsid w:val="6B826037"/>
    <w:rsid w:val="6C060AF4"/>
    <w:rsid w:val="6CF44DF0"/>
    <w:rsid w:val="6D4408C7"/>
    <w:rsid w:val="6D6535F8"/>
    <w:rsid w:val="6E2635E6"/>
    <w:rsid w:val="6EE86500"/>
    <w:rsid w:val="6F6124E5"/>
    <w:rsid w:val="701B6B38"/>
    <w:rsid w:val="70644124"/>
    <w:rsid w:val="70820965"/>
    <w:rsid w:val="70875F7B"/>
    <w:rsid w:val="70DF44BB"/>
    <w:rsid w:val="71233EF6"/>
    <w:rsid w:val="71F6680B"/>
    <w:rsid w:val="733A72D5"/>
    <w:rsid w:val="738B5D82"/>
    <w:rsid w:val="73DB5480"/>
    <w:rsid w:val="74465DE5"/>
    <w:rsid w:val="745F3497"/>
    <w:rsid w:val="74F33BDF"/>
    <w:rsid w:val="754952ED"/>
    <w:rsid w:val="75741ADA"/>
    <w:rsid w:val="761D5CB5"/>
    <w:rsid w:val="76261D92"/>
    <w:rsid w:val="765D5694"/>
    <w:rsid w:val="76B935F9"/>
    <w:rsid w:val="77C35511"/>
    <w:rsid w:val="782515EE"/>
    <w:rsid w:val="78434E7D"/>
    <w:rsid w:val="784C3D32"/>
    <w:rsid w:val="7936053E"/>
    <w:rsid w:val="7A7B08FF"/>
    <w:rsid w:val="7AFE508C"/>
    <w:rsid w:val="7B4E6013"/>
    <w:rsid w:val="7B6770D5"/>
    <w:rsid w:val="7BB265A2"/>
    <w:rsid w:val="7C5C650E"/>
    <w:rsid w:val="7CAA54CB"/>
    <w:rsid w:val="7CD46DDE"/>
    <w:rsid w:val="7D1D3F46"/>
    <w:rsid w:val="7D326489"/>
    <w:rsid w:val="7DC720AD"/>
    <w:rsid w:val="7DF804B8"/>
    <w:rsid w:val="7E6A3164"/>
    <w:rsid w:val="7E70004F"/>
    <w:rsid w:val="7E862449"/>
    <w:rsid w:val="7F4E65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10">
    <w:name w:val="Default Paragraph Font"/>
    <w:semiHidden/>
    <w:unhideWhenUsed/>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link w:val="15"/>
    <w:autoRedefine/>
    <w:unhideWhenUsed/>
    <w:qFormat/>
    <w:uiPriority w:val="99"/>
    <w:pPr>
      <w:jc w:val="left"/>
    </w:pPr>
    <w:rPr>
      <w:rFonts w:asciiTheme="minorHAnsi" w:hAnsiTheme="minorHAnsi" w:eastAsiaTheme="minorEastAsia" w:cstheme="minorBidi"/>
      <w:szCs w:val="22"/>
    </w:rPr>
  </w:style>
  <w:style w:type="paragraph" w:styleId="4">
    <w:name w:val="Balloon Text"/>
    <w:basedOn w:val="1"/>
    <w:link w:val="18"/>
    <w:autoRedefine/>
    <w:qFormat/>
    <w:uiPriority w:val="0"/>
    <w:rPr>
      <w:sz w:val="18"/>
      <w:szCs w:val="18"/>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autoRedefine/>
    <w:qFormat/>
    <w:uiPriority w:val="99"/>
    <w:pPr>
      <w:spacing w:before="100" w:beforeAutospacing="1" w:after="100" w:afterAutospacing="1"/>
      <w:jc w:val="left"/>
    </w:pPr>
    <w:rPr>
      <w:kern w:val="0"/>
      <w:sz w:val="24"/>
    </w:rPr>
  </w:style>
  <w:style w:type="paragraph" w:styleId="8">
    <w:name w:val="annotation subject"/>
    <w:basedOn w:val="3"/>
    <w:next w:val="3"/>
    <w:link w:val="17"/>
    <w:autoRedefine/>
    <w:semiHidden/>
    <w:unhideWhenUsed/>
    <w:qFormat/>
    <w:uiPriority w:val="0"/>
    <w:rPr>
      <w:rFonts w:ascii="Calibri" w:hAnsi="Calibri" w:eastAsia="宋体" w:cs="Times New Roman"/>
      <w:b/>
      <w:bCs/>
      <w:szCs w:val="24"/>
    </w:rPr>
  </w:style>
  <w:style w:type="character" w:styleId="11">
    <w:name w:val="Strong"/>
    <w:basedOn w:val="10"/>
    <w:autoRedefine/>
    <w:qFormat/>
    <w:uiPriority w:val="22"/>
    <w:rPr>
      <w:b/>
      <w:bCs/>
    </w:rPr>
  </w:style>
  <w:style w:type="character" w:styleId="12">
    <w:name w:val="page number"/>
    <w:basedOn w:val="10"/>
    <w:autoRedefine/>
    <w:qFormat/>
    <w:uiPriority w:val="0"/>
  </w:style>
  <w:style w:type="character" w:styleId="13">
    <w:name w:val="annotation reference"/>
    <w:basedOn w:val="10"/>
    <w:autoRedefine/>
    <w:unhideWhenUsed/>
    <w:qFormat/>
    <w:uiPriority w:val="99"/>
    <w:rPr>
      <w:sz w:val="21"/>
      <w:szCs w:val="21"/>
    </w:rPr>
  </w:style>
  <w:style w:type="paragraph" w:styleId="14">
    <w:name w:val="List Paragraph"/>
    <w:basedOn w:val="1"/>
    <w:autoRedefine/>
    <w:qFormat/>
    <w:uiPriority w:val="34"/>
    <w:pPr>
      <w:ind w:firstLine="420" w:firstLineChars="200"/>
    </w:pPr>
  </w:style>
  <w:style w:type="character" w:customStyle="1" w:styleId="15">
    <w:name w:val="批注文字 Char"/>
    <w:basedOn w:val="10"/>
    <w:link w:val="3"/>
    <w:autoRedefine/>
    <w:qFormat/>
    <w:uiPriority w:val="99"/>
    <w:rPr>
      <w:rFonts w:asciiTheme="minorHAnsi" w:hAnsiTheme="minorHAnsi" w:eastAsiaTheme="minorEastAsia" w:cstheme="minorBidi"/>
      <w:kern w:val="2"/>
      <w:sz w:val="21"/>
      <w:szCs w:val="22"/>
    </w:rPr>
  </w:style>
  <w:style w:type="paragraph" w:customStyle="1" w:styleId="16">
    <w:name w:val="修订1"/>
    <w:autoRedefine/>
    <w:hidden/>
    <w:semiHidden/>
    <w:qFormat/>
    <w:uiPriority w:val="99"/>
    <w:rPr>
      <w:rFonts w:ascii="Calibri" w:hAnsi="Calibri" w:eastAsia="宋体" w:cs="Times New Roman"/>
      <w:kern w:val="2"/>
      <w:sz w:val="21"/>
      <w:szCs w:val="24"/>
      <w:lang w:val="en-US" w:eastAsia="zh-CN" w:bidi="ar-SA"/>
    </w:rPr>
  </w:style>
  <w:style w:type="character" w:customStyle="1" w:styleId="17">
    <w:name w:val="批注主题 Char"/>
    <w:basedOn w:val="15"/>
    <w:link w:val="8"/>
    <w:autoRedefine/>
    <w:semiHidden/>
    <w:qFormat/>
    <w:uiPriority w:val="0"/>
    <w:rPr>
      <w:rFonts w:ascii="Calibri" w:hAnsi="Calibri" w:eastAsiaTheme="minorEastAsia" w:cstheme="minorBidi"/>
      <w:b/>
      <w:bCs/>
      <w:kern w:val="2"/>
      <w:sz w:val="21"/>
      <w:szCs w:val="24"/>
    </w:rPr>
  </w:style>
  <w:style w:type="character" w:customStyle="1" w:styleId="18">
    <w:name w:val="批注框文本 Char"/>
    <w:basedOn w:val="10"/>
    <w:link w:val="4"/>
    <w:autoRedefine/>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esktop\2020&#31532;&#19968;&#27425;&#25253;&#21578;&#35780;&#23457;&#20250;&#65288;&#25216;&#26415;&#37096;&#65289;\2020&#31532;&#19968;&#27425;&#25253;&#21578;&#35780;&#23457;&#20250;%20&#36890;&#3069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2020第一次报告评审会 通知</Template>
  <Company>Microsoft</Company>
  <Pages>8</Pages>
  <Words>2359</Words>
  <Characters>2403</Characters>
  <Lines>3</Lines>
  <Paragraphs>1</Paragraphs>
  <TotalTime>31</TotalTime>
  <ScaleCrop>false</ScaleCrop>
  <LinksUpToDate>false</LinksUpToDate>
  <CharactersWithSpaces>2464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2020-07-14T07:00:00Z</dcterms:created>
  <dc:creator>乄南蛮乄</dc:creator>
  <cp:lastModifiedBy>Z</cp:lastModifiedBy>
  <cp:lastPrinted>2023-12-28T02:34:00Z</cp:lastPrinted>
  <dcterms:modified xsi:type="dcterms:W3CDTF">2023-12-28T07:30:00Z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4C0F7A97029D4C8098006BC09F295D26_13</vt:lpwstr>
  </property>
</Properties>
</file>